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CC2F" w14:textId="15171EF8" w:rsidR="00135DF0" w:rsidRDefault="002840C2">
      <w:pPr>
        <w:rPr>
          <w:b/>
          <w:bCs/>
          <w:u w:val="single"/>
          <w:lang w:val="en-US"/>
        </w:rPr>
      </w:pPr>
      <w:r w:rsidRPr="00135DF0">
        <w:rPr>
          <w:b/>
          <w:bCs/>
          <w:u w:val="single"/>
          <w:lang w:val="en-US"/>
        </w:rPr>
        <w:t xml:space="preserve">IMPORTANT NOTICE </w:t>
      </w:r>
      <w:r w:rsidR="00135DF0">
        <w:rPr>
          <w:b/>
          <w:bCs/>
          <w:u w:val="single"/>
          <w:lang w:val="en-US"/>
        </w:rPr>
        <w:t>– BVI</w:t>
      </w:r>
      <w:r w:rsidR="00211D26">
        <w:rPr>
          <w:b/>
          <w:bCs/>
          <w:u w:val="single"/>
          <w:lang w:val="en-US"/>
        </w:rPr>
        <w:t xml:space="preserve"> – Amendment 2025</w:t>
      </w:r>
    </w:p>
    <w:p w14:paraId="22E9ECB3" w14:textId="7612529C" w:rsidR="00C85DF5" w:rsidRDefault="001C5B20">
      <w:pPr>
        <w:rPr>
          <w:b/>
          <w:bCs/>
          <w:lang w:val="en-US"/>
        </w:rPr>
      </w:pPr>
      <w:r>
        <w:rPr>
          <w:b/>
          <w:bCs/>
          <w:lang w:val="en-US"/>
        </w:rPr>
        <w:t>Filing</w:t>
      </w:r>
      <w:r w:rsidR="002840C2" w:rsidRPr="00135DF0">
        <w:rPr>
          <w:b/>
          <w:bCs/>
          <w:lang w:val="en-US"/>
        </w:rPr>
        <w:t xml:space="preserve"> of </w:t>
      </w:r>
      <w:r w:rsidR="000E24AE" w:rsidRPr="00135DF0">
        <w:rPr>
          <w:b/>
          <w:bCs/>
          <w:lang w:val="en-US"/>
        </w:rPr>
        <w:t>Register of Members</w:t>
      </w:r>
      <w:r w:rsidR="002840C2" w:rsidRPr="00135DF0">
        <w:rPr>
          <w:b/>
          <w:bCs/>
          <w:lang w:val="en-US"/>
        </w:rPr>
        <w:t xml:space="preserve"> and Beneficial Owner</w:t>
      </w:r>
      <w:r w:rsidR="00935896">
        <w:rPr>
          <w:b/>
          <w:bCs/>
          <w:lang w:val="en-US"/>
        </w:rPr>
        <w:t>ship</w:t>
      </w:r>
      <w:r w:rsidR="002840C2" w:rsidRPr="00135DF0">
        <w:rPr>
          <w:b/>
          <w:bCs/>
          <w:lang w:val="en-US"/>
        </w:rPr>
        <w:t xml:space="preserve"> Information</w:t>
      </w:r>
      <w:r w:rsidR="00655E34" w:rsidRPr="00135DF0">
        <w:rPr>
          <w:b/>
          <w:bCs/>
          <w:lang w:val="en-US"/>
        </w:rPr>
        <w:t xml:space="preserve"> for companies existing prior to 2 January 2025</w:t>
      </w:r>
    </w:p>
    <w:p w14:paraId="7597F5DA" w14:textId="0F150FF3" w:rsidR="00BA0AEA" w:rsidRDefault="00BA0AEA">
      <w:pPr>
        <w:rPr>
          <w:b/>
          <w:bCs/>
          <w:lang w:val="en-US"/>
        </w:rPr>
      </w:pPr>
    </w:p>
    <w:p w14:paraId="076F8396" w14:textId="7C81FA89" w:rsidR="007C3E7E" w:rsidRDefault="007C3E7E">
      <w:pPr>
        <w:rPr>
          <w:b/>
          <w:bCs/>
          <w:lang w:val="en-US"/>
        </w:rPr>
      </w:pPr>
      <w:r>
        <w:rPr>
          <w:b/>
          <w:bCs/>
          <w:lang w:val="en-US"/>
        </w:rPr>
        <w:t>UPDATE – Exemptions added (Foreign Regulated Trustee and State-Owned Enterprises)</w:t>
      </w:r>
    </w:p>
    <w:p w14:paraId="24717DDE" w14:textId="77777777" w:rsidR="007C3E7E" w:rsidRDefault="007C3E7E">
      <w:pPr>
        <w:rPr>
          <w:b/>
          <w:bCs/>
          <w:lang w:val="en-US"/>
        </w:rPr>
      </w:pPr>
    </w:p>
    <w:p w14:paraId="2FE95BA4" w14:textId="25E3E55F" w:rsidR="007C3E7E" w:rsidRPr="00135DF0" w:rsidRDefault="007C3E7E">
      <w:pPr>
        <w:rPr>
          <w:b/>
          <w:bCs/>
          <w:lang w:val="en-US"/>
        </w:rPr>
      </w:pPr>
      <w:r>
        <w:rPr>
          <w:b/>
          <w:bCs/>
          <w:lang w:val="en-US"/>
        </w:rPr>
        <w:t xml:space="preserve">REMINDER – </w:t>
      </w:r>
      <w:r w:rsidR="001C5B20">
        <w:rPr>
          <w:b/>
          <w:bCs/>
          <w:lang w:val="en-US"/>
        </w:rPr>
        <w:t>Submission</w:t>
      </w:r>
      <w:r>
        <w:rPr>
          <w:b/>
          <w:bCs/>
          <w:lang w:val="en-US"/>
        </w:rPr>
        <w:t xml:space="preserve"> deadline is</w:t>
      </w:r>
      <w:r w:rsidR="001C5B20">
        <w:rPr>
          <w:b/>
          <w:bCs/>
          <w:lang w:val="en-US"/>
        </w:rPr>
        <w:t xml:space="preserve"> 15 November 2025 for free filing</w:t>
      </w:r>
    </w:p>
    <w:p w14:paraId="032A5204" w14:textId="77777777" w:rsidR="000E24AE" w:rsidRPr="00AD73F6" w:rsidRDefault="000E24AE">
      <w:pPr>
        <w:rPr>
          <w:sz w:val="20"/>
          <w:szCs w:val="20"/>
          <w:lang w:val="en-US"/>
        </w:rPr>
      </w:pPr>
    </w:p>
    <w:p w14:paraId="0BBA38A1" w14:textId="5912078A" w:rsidR="002840C2" w:rsidRPr="00AD73F6" w:rsidRDefault="002840C2" w:rsidP="00BF5973">
      <w:pPr>
        <w:jc w:val="both"/>
        <w:rPr>
          <w:b/>
          <w:bCs/>
          <w:sz w:val="20"/>
          <w:szCs w:val="20"/>
          <w:u w:val="single"/>
          <w:lang w:val="en-US"/>
        </w:rPr>
      </w:pPr>
      <w:r w:rsidRPr="00AD73F6">
        <w:rPr>
          <w:b/>
          <w:bCs/>
          <w:sz w:val="20"/>
          <w:szCs w:val="20"/>
          <w:u w:val="single"/>
          <w:lang w:val="en-US"/>
        </w:rPr>
        <w:t>Register of Members</w:t>
      </w:r>
    </w:p>
    <w:p w14:paraId="5AD7EFC3" w14:textId="6620910B" w:rsidR="000E24AE" w:rsidRPr="00AD73F6" w:rsidRDefault="000E24AE" w:rsidP="00BF5973">
      <w:pPr>
        <w:jc w:val="both"/>
        <w:rPr>
          <w:sz w:val="20"/>
          <w:szCs w:val="20"/>
          <w:lang w:val="en-US"/>
        </w:rPr>
      </w:pPr>
      <w:r w:rsidRPr="00AD73F6">
        <w:rPr>
          <w:sz w:val="20"/>
          <w:szCs w:val="20"/>
          <w:lang w:val="en-US"/>
        </w:rPr>
        <w:t>A</w:t>
      </w:r>
      <w:r w:rsidR="00655E34" w:rsidRPr="00AD73F6">
        <w:rPr>
          <w:sz w:val="20"/>
          <w:szCs w:val="20"/>
          <w:lang w:val="en-US"/>
        </w:rPr>
        <w:t xml:space="preserve"> BVI</w:t>
      </w:r>
      <w:r w:rsidRPr="00AD73F6">
        <w:rPr>
          <w:sz w:val="20"/>
          <w:szCs w:val="20"/>
          <w:lang w:val="en-US"/>
        </w:rPr>
        <w:t xml:space="preserve"> company </w:t>
      </w:r>
      <w:r w:rsidR="004E443F" w:rsidRPr="00AD73F6">
        <w:rPr>
          <w:sz w:val="20"/>
          <w:szCs w:val="20"/>
          <w:lang w:val="en-US"/>
        </w:rPr>
        <w:t>must</w:t>
      </w:r>
      <w:r w:rsidRPr="00AD73F6">
        <w:rPr>
          <w:sz w:val="20"/>
          <w:szCs w:val="20"/>
          <w:lang w:val="en-US"/>
        </w:rPr>
        <w:t xml:space="preserve"> file for registration a copy of its register of members.  </w:t>
      </w:r>
      <w:r w:rsidR="002840C2" w:rsidRPr="00AD73F6">
        <w:rPr>
          <w:sz w:val="20"/>
          <w:szCs w:val="20"/>
          <w:lang w:val="en-US"/>
        </w:rPr>
        <w:t>For companies existing prior to 2 January 2025, the register</w:t>
      </w:r>
      <w:r w:rsidR="004E443F" w:rsidRPr="00AD73F6">
        <w:rPr>
          <w:sz w:val="20"/>
          <w:szCs w:val="20"/>
          <w:lang w:val="en-US"/>
        </w:rPr>
        <w:t>s</w:t>
      </w:r>
      <w:r w:rsidR="002840C2" w:rsidRPr="00AD73F6">
        <w:rPr>
          <w:sz w:val="20"/>
          <w:szCs w:val="20"/>
          <w:lang w:val="en-US"/>
        </w:rPr>
        <w:t xml:space="preserve"> of members </w:t>
      </w:r>
      <w:r w:rsidR="004E443F" w:rsidRPr="00AD73F6">
        <w:rPr>
          <w:sz w:val="20"/>
          <w:szCs w:val="20"/>
          <w:lang w:val="en-US"/>
        </w:rPr>
        <w:t>shall be filed</w:t>
      </w:r>
      <w:r w:rsidR="002840C2" w:rsidRPr="00AD73F6">
        <w:rPr>
          <w:sz w:val="20"/>
          <w:szCs w:val="20"/>
          <w:lang w:val="en-US"/>
        </w:rPr>
        <w:t xml:space="preserve"> no later than </w:t>
      </w:r>
      <w:r w:rsidR="00355D2A">
        <w:rPr>
          <w:sz w:val="20"/>
          <w:szCs w:val="20"/>
          <w:lang w:val="en-US"/>
        </w:rPr>
        <w:t>31</w:t>
      </w:r>
      <w:r w:rsidR="002840C2" w:rsidRPr="00AD73F6">
        <w:rPr>
          <w:sz w:val="20"/>
          <w:szCs w:val="20"/>
          <w:lang w:val="en-US"/>
        </w:rPr>
        <w:t xml:space="preserve"> </w:t>
      </w:r>
      <w:r w:rsidR="00355D2A">
        <w:rPr>
          <w:sz w:val="20"/>
          <w:szCs w:val="20"/>
          <w:lang w:val="en-US"/>
        </w:rPr>
        <w:t>December</w:t>
      </w:r>
      <w:r w:rsidR="002840C2" w:rsidRPr="00AD73F6">
        <w:rPr>
          <w:sz w:val="20"/>
          <w:szCs w:val="20"/>
          <w:lang w:val="en-US"/>
        </w:rPr>
        <w:t xml:space="preserve"> 2025.  </w:t>
      </w:r>
    </w:p>
    <w:p w14:paraId="6B75C586" w14:textId="77777777" w:rsidR="002840C2" w:rsidRPr="00AD73F6" w:rsidRDefault="002840C2" w:rsidP="00BF5973">
      <w:pPr>
        <w:jc w:val="both"/>
        <w:rPr>
          <w:sz w:val="20"/>
          <w:szCs w:val="20"/>
          <w:lang w:val="en-US"/>
        </w:rPr>
      </w:pPr>
    </w:p>
    <w:p w14:paraId="0BCAD4F6" w14:textId="68942427" w:rsidR="002840C2" w:rsidRPr="00AD73F6" w:rsidRDefault="000E24AE" w:rsidP="00BF5973">
      <w:pPr>
        <w:ind w:left="720"/>
        <w:jc w:val="both"/>
        <w:rPr>
          <w:sz w:val="20"/>
          <w:szCs w:val="20"/>
          <w:lang w:val="en-US"/>
        </w:rPr>
      </w:pPr>
      <w:r w:rsidRPr="00AD73F6">
        <w:rPr>
          <w:b/>
          <w:bCs/>
          <w:sz w:val="20"/>
          <w:szCs w:val="20"/>
          <w:u w:val="single"/>
          <w:lang w:val="en-US"/>
        </w:rPr>
        <w:t>Exemptions</w:t>
      </w:r>
      <w:r w:rsidR="00135DF0">
        <w:rPr>
          <w:b/>
          <w:bCs/>
          <w:sz w:val="20"/>
          <w:szCs w:val="20"/>
          <w:u w:val="single"/>
          <w:lang w:val="en-US"/>
        </w:rPr>
        <w:t>:</w:t>
      </w:r>
      <w:r w:rsidR="00135DF0" w:rsidRPr="00135DF0">
        <w:rPr>
          <w:sz w:val="20"/>
          <w:szCs w:val="20"/>
          <w:lang w:val="en-US"/>
        </w:rPr>
        <w:t xml:space="preserve"> </w:t>
      </w:r>
      <w:r w:rsidR="002840C2" w:rsidRPr="00AD73F6">
        <w:rPr>
          <w:sz w:val="20"/>
          <w:szCs w:val="20"/>
          <w:lang w:val="en-US"/>
        </w:rPr>
        <w:t>The requirement to file register of members does not apply to a company that:</w:t>
      </w:r>
    </w:p>
    <w:p w14:paraId="7F5898F6" w14:textId="74856A72" w:rsidR="002840C2" w:rsidRPr="00AD73F6" w:rsidRDefault="002840C2" w:rsidP="00BF5973">
      <w:pPr>
        <w:pStyle w:val="ListParagraph"/>
        <w:numPr>
          <w:ilvl w:val="0"/>
          <w:numId w:val="2"/>
        </w:numPr>
        <w:ind w:left="1440"/>
        <w:jc w:val="both"/>
        <w:rPr>
          <w:sz w:val="20"/>
          <w:szCs w:val="20"/>
          <w:lang w:val="en-US"/>
        </w:rPr>
      </w:pPr>
      <w:r w:rsidRPr="00AD73F6">
        <w:rPr>
          <w:sz w:val="20"/>
          <w:szCs w:val="20"/>
          <w:lang w:val="en-US"/>
        </w:rPr>
        <w:t xml:space="preserve">is listed on a </w:t>
      </w:r>
      <w:proofErr w:type="spellStart"/>
      <w:r w:rsidRPr="00AD73F6">
        <w:rPr>
          <w:sz w:val="20"/>
          <w:szCs w:val="20"/>
          <w:lang w:val="en-US"/>
        </w:rPr>
        <w:t>recognised</w:t>
      </w:r>
      <w:proofErr w:type="spellEnd"/>
      <w:r w:rsidRPr="00AD73F6">
        <w:rPr>
          <w:sz w:val="20"/>
          <w:szCs w:val="20"/>
          <w:lang w:val="en-US"/>
        </w:rPr>
        <w:t xml:space="preserve"> </w:t>
      </w:r>
      <w:r w:rsidR="00BF5973" w:rsidRPr="00AD73F6">
        <w:rPr>
          <w:sz w:val="20"/>
          <w:szCs w:val="20"/>
          <w:lang w:val="en-US"/>
        </w:rPr>
        <w:t xml:space="preserve">stock </w:t>
      </w:r>
      <w:r w:rsidRPr="00AD73F6">
        <w:rPr>
          <w:sz w:val="20"/>
          <w:szCs w:val="20"/>
          <w:lang w:val="en-US"/>
        </w:rPr>
        <w:t>exchange</w:t>
      </w:r>
      <w:r w:rsidR="00B30DBC">
        <w:rPr>
          <w:sz w:val="20"/>
          <w:szCs w:val="20"/>
          <w:lang w:val="en-US"/>
        </w:rPr>
        <w:t xml:space="preserve"> (see attached list</w:t>
      </w:r>
      <w:proofErr w:type="gramStart"/>
      <w:r w:rsidR="00B30DBC">
        <w:rPr>
          <w:sz w:val="20"/>
          <w:szCs w:val="20"/>
          <w:lang w:val="en-US"/>
        </w:rPr>
        <w:t>)</w:t>
      </w:r>
      <w:r w:rsidRPr="00AD73F6">
        <w:rPr>
          <w:sz w:val="20"/>
          <w:szCs w:val="20"/>
          <w:lang w:val="en-US"/>
        </w:rPr>
        <w:t>;</w:t>
      </w:r>
      <w:proofErr w:type="gramEnd"/>
    </w:p>
    <w:p w14:paraId="04F10D08" w14:textId="35E3F1C7" w:rsidR="002840C2" w:rsidRPr="00AD73F6" w:rsidRDefault="002840C2" w:rsidP="00BF5973">
      <w:pPr>
        <w:pStyle w:val="ListParagraph"/>
        <w:numPr>
          <w:ilvl w:val="0"/>
          <w:numId w:val="2"/>
        </w:numPr>
        <w:ind w:left="1440"/>
        <w:jc w:val="both"/>
        <w:rPr>
          <w:sz w:val="20"/>
          <w:szCs w:val="20"/>
          <w:lang w:val="en-US"/>
        </w:rPr>
      </w:pPr>
      <w:r w:rsidRPr="00AD73F6">
        <w:rPr>
          <w:sz w:val="20"/>
          <w:szCs w:val="20"/>
          <w:lang w:val="en-US"/>
        </w:rPr>
        <w:t xml:space="preserve">is a private, professional, public or private investment fund </w:t>
      </w:r>
      <w:proofErr w:type="spellStart"/>
      <w:r w:rsidRPr="00AD73F6">
        <w:rPr>
          <w:sz w:val="20"/>
          <w:szCs w:val="20"/>
          <w:lang w:val="en-US"/>
        </w:rPr>
        <w:t>recognised</w:t>
      </w:r>
      <w:proofErr w:type="spellEnd"/>
      <w:r w:rsidRPr="00AD73F6">
        <w:rPr>
          <w:sz w:val="20"/>
          <w:szCs w:val="20"/>
          <w:lang w:val="en-US"/>
        </w:rPr>
        <w:t xml:space="preserve"> under the Securities and Investment Business Act; or</w:t>
      </w:r>
    </w:p>
    <w:p w14:paraId="320079B5" w14:textId="2458E934" w:rsidR="002840C2" w:rsidRDefault="002840C2" w:rsidP="00BF5973">
      <w:pPr>
        <w:pStyle w:val="ListParagraph"/>
        <w:numPr>
          <w:ilvl w:val="0"/>
          <w:numId w:val="2"/>
        </w:numPr>
        <w:ind w:left="1440"/>
        <w:jc w:val="both"/>
        <w:rPr>
          <w:sz w:val="20"/>
          <w:szCs w:val="20"/>
          <w:lang w:val="en-US"/>
        </w:rPr>
      </w:pPr>
      <w:r w:rsidRPr="00AD73F6">
        <w:rPr>
          <w:sz w:val="20"/>
          <w:szCs w:val="20"/>
          <w:lang w:val="en-US"/>
        </w:rPr>
        <w:t>is an incubator or approved fund under the Securities and Investment Business (Incubator and Approved Funds) Regulations.</w:t>
      </w:r>
    </w:p>
    <w:p w14:paraId="6C9956E7" w14:textId="77777777" w:rsidR="00135DF0" w:rsidRPr="00AD73F6" w:rsidRDefault="00135DF0" w:rsidP="00135DF0">
      <w:pPr>
        <w:pStyle w:val="ListParagraph"/>
        <w:ind w:left="1440"/>
        <w:jc w:val="both"/>
        <w:rPr>
          <w:sz w:val="20"/>
          <w:szCs w:val="20"/>
          <w:lang w:val="en-US"/>
        </w:rPr>
      </w:pPr>
    </w:p>
    <w:p w14:paraId="5BD8EFE1" w14:textId="21F037D4" w:rsidR="00135DF0" w:rsidRPr="00135DF0" w:rsidRDefault="00135DF0" w:rsidP="00135DF0">
      <w:pPr>
        <w:pStyle w:val="ListParagraph"/>
        <w:numPr>
          <w:ilvl w:val="0"/>
          <w:numId w:val="12"/>
        </w:numPr>
        <w:jc w:val="both"/>
        <w:rPr>
          <w:sz w:val="20"/>
          <w:szCs w:val="20"/>
          <w:lang w:val="en-US"/>
        </w:rPr>
      </w:pPr>
      <w:r>
        <w:rPr>
          <w:sz w:val="20"/>
          <w:szCs w:val="20"/>
          <w:lang w:val="en-US"/>
        </w:rPr>
        <w:t xml:space="preserve">Companies eligible for exemption must file for exemption no later than </w:t>
      </w:r>
      <w:r w:rsidR="00355D2A">
        <w:rPr>
          <w:sz w:val="20"/>
          <w:szCs w:val="20"/>
          <w:lang w:val="en-US"/>
        </w:rPr>
        <w:t>31</w:t>
      </w:r>
      <w:r w:rsidR="00355D2A" w:rsidRPr="00AD73F6">
        <w:rPr>
          <w:sz w:val="20"/>
          <w:szCs w:val="20"/>
          <w:lang w:val="en-US"/>
        </w:rPr>
        <w:t xml:space="preserve"> </w:t>
      </w:r>
      <w:r w:rsidR="00355D2A">
        <w:rPr>
          <w:sz w:val="20"/>
          <w:szCs w:val="20"/>
          <w:lang w:val="en-US"/>
        </w:rPr>
        <w:t>December</w:t>
      </w:r>
      <w:r w:rsidR="00355D2A" w:rsidRPr="00AD73F6">
        <w:rPr>
          <w:sz w:val="20"/>
          <w:szCs w:val="20"/>
          <w:lang w:val="en-US"/>
        </w:rPr>
        <w:t xml:space="preserve"> </w:t>
      </w:r>
      <w:r>
        <w:rPr>
          <w:sz w:val="20"/>
          <w:szCs w:val="20"/>
          <w:lang w:val="en-US"/>
        </w:rPr>
        <w:t>2025</w:t>
      </w:r>
    </w:p>
    <w:p w14:paraId="7AED1859" w14:textId="77777777" w:rsidR="00135DF0" w:rsidRPr="00AD73F6" w:rsidRDefault="00135DF0" w:rsidP="00BF5973">
      <w:pPr>
        <w:jc w:val="both"/>
        <w:rPr>
          <w:sz w:val="20"/>
          <w:szCs w:val="20"/>
          <w:lang w:val="en-US"/>
        </w:rPr>
      </w:pPr>
    </w:p>
    <w:p w14:paraId="30AC8DA7" w14:textId="3F0BE205" w:rsidR="001025C4" w:rsidRPr="00AD73F6" w:rsidRDefault="001025C4" w:rsidP="00BF5973">
      <w:pPr>
        <w:jc w:val="both"/>
        <w:rPr>
          <w:b/>
          <w:bCs/>
          <w:sz w:val="20"/>
          <w:szCs w:val="20"/>
          <w:u w:val="single"/>
          <w:lang w:val="en-US"/>
        </w:rPr>
      </w:pPr>
      <w:r w:rsidRPr="00AD73F6">
        <w:rPr>
          <w:b/>
          <w:bCs/>
          <w:sz w:val="20"/>
          <w:szCs w:val="20"/>
          <w:u w:val="single"/>
          <w:lang w:val="en-US"/>
        </w:rPr>
        <w:t>Beneficial Owner</w:t>
      </w:r>
      <w:r w:rsidR="00935896">
        <w:rPr>
          <w:b/>
          <w:bCs/>
          <w:sz w:val="20"/>
          <w:szCs w:val="20"/>
          <w:u w:val="single"/>
          <w:lang w:val="en-US"/>
        </w:rPr>
        <w:t>ship</w:t>
      </w:r>
      <w:r w:rsidRPr="00AD73F6">
        <w:rPr>
          <w:b/>
          <w:bCs/>
          <w:sz w:val="20"/>
          <w:szCs w:val="20"/>
          <w:u w:val="single"/>
          <w:lang w:val="en-US"/>
        </w:rPr>
        <w:t xml:space="preserve"> Information</w:t>
      </w:r>
    </w:p>
    <w:p w14:paraId="66C3008E" w14:textId="1D1965C1" w:rsidR="001025C4" w:rsidRPr="00AD73F6" w:rsidRDefault="001025C4" w:rsidP="00BF5973">
      <w:pPr>
        <w:jc w:val="both"/>
        <w:rPr>
          <w:sz w:val="20"/>
          <w:szCs w:val="20"/>
          <w:lang w:val="en-US"/>
        </w:rPr>
      </w:pPr>
      <w:r w:rsidRPr="00AD73F6">
        <w:rPr>
          <w:sz w:val="20"/>
          <w:szCs w:val="20"/>
          <w:lang w:val="en-US"/>
        </w:rPr>
        <w:t>A</w:t>
      </w:r>
      <w:r w:rsidR="004E443F" w:rsidRPr="00AD73F6">
        <w:rPr>
          <w:sz w:val="20"/>
          <w:szCs w:val="20"/>
          <w:lang w:val="en-US"/>
        </w:rPr>
        <w:t xml:space="preserve"> BVI</w:t>
      </w:r>
      <w:r w:rsidRPr="00AD73F6">
        <w:rPr>
          <w:sz w:val="20"/>
          <w:szCs w:val="20"/>
          <w:lang w:val="en-US"/>
        </w:rPr>
        <w:t xml:space="preserve"> company must file its beneficial ownership information with the Registrar.  For companies existing prior to 2 January 2025, </w:t>
      </w:r>
      <w:r w:rsidR="004E443F" w:rsidRPr="00AD73F6">
        <w:rPr>
          <w:sz w:val="20"/>
          <w:szCs w:val="20"/>
          <w:lang w:val="en-US"/>
        </w:rPr>
        <w:t>the</w:t>
      </w:r>
      <w:r w:rsidRPr="00AD73F6">
        <w:rPr>
          <w:sz w:val="20"/>
          <w:szCs w:val="20"/>
          <w:lang w:val="en-US"/>
        </w:rPr>
        <w:t xml:space="preserve"> </w:t>
      </w:r>
      <w:r w:rsidRPr="00AD73F6">
        <w:rPr>
          <w:rFonts w:ascii="Calibri" w:hAnsi="Calibri" w:cs="Calibri"/>
          <w:sz w:val="20"/>
          <w:szCs w:val="20"/>
        </w:rPr>
        <w:t>beneficial ownership information</w:t>
      </w:r>
      <w:r w:rsidR="004E443F" w:rsidRPr="00AD73F6">
        <w:rPr>
          <w:rFonts w:ascii="Calibri" w:hAnsi="Calibri" w:cs="Calibri"/>
          <w:sz w:val="20"/>
          <w:szCs w:val="20"/>
        </w:rPr>
        <w:t xml:space="preserve"> shall be filed</w:t>
      </w:r>
      <w:r w:rsidRPr="00AD73F6">
        <w:rPr>
          <w:rFonts w:ascii="Calibri" w:hAnsi="Calibri" w:cs="Calibri"/>
          <w:sz w:val="20"/>
          <w:szCs w:val="20"/>
        </w:rPr>
        <w:t xml:space="preserve"> </w:t>
      </w:r>
      <w:r w:rsidRPr="00AD73F6">
        <w:rPr>
          <w:sz w:val="20"/>
          <w:szCs w:val="20"/>
          <w:lang w:val="en-US"/>
        </w:rPr>
        <w:t xml:space="preserve">no later than </w:t>
      </w:r>
      <w:r w:rsidR="00355D2A">
        <w:rPr>
          <w:sz w:val="20"/>
          <w:szCs w:val="20"/>
          <w:lang w:val="en-US"/>
        </w:rPr>
        <w:t>31</w:t>
      </w:r>
      <w:r w:rsidR="00355D2A" w:rsidRPr="00AD73F6">
        <w:rPr>
          <w:sz w:val="20"/>
          <w:szCs w:val="20"/>
          <w:lang w:val="en-US"/>
        </w:rPr>
        <w:t xml:space="preserve"> </w:t>
      </w:r>
      <w:r w:rsidR="00355D2A">
        <w:rPr>
          <w:sz w:val="20"/>
          <w:szCs w:val="20"/>
          <w:lang w:val="en-US"/>
        </w:rPr>
        <w:t>December</w:t>
      </w:r>
      <w:r w:rsidR="00355D2A" w:rsidRPr="00AD73F6">
        <w:rPr>
          <w:sz w:val="20"/>
          <w:szCs w:val="20"/>
          <w:lang w:val="en-US"/>
        </w:rPr>
        <w:t xml:space="preserve"> </w:t>
      </w:r>
      <w:r w:rsidRPr="00AD73F6">
        <w:rPr>
          <w:sz w:val="20"/>
          <w:szCs w:val="20"/>
          <w:lang w:val="en-US"/>
        </w:rPr>
        <w:t xml:space="preserve">2025.  </w:t>
      </w:r>
    </w:p>
    <w:p w14:paraId="06E749F5" w14:textId="77777777" w:rsidR="001025C4" w:rsidRPr="00AD73F6" w:rsidRDefault="001025C4" w:rsidP="00BF5973">
      <w:pPr>
        <w:jc w:val="both"/>
        <w:rPr>
          <w:sz w:val="20"/>
          <w:szCs w:val="20"/>
          <w:lang w:val="en-US"/>
        </w:rPr>
      </w:pPr>
    </w:p>
    <w:p w14:paraId="48207A89" w14:textId="4BC66E02" w:rsidR="00AD73F6" w:rsidRPr="00AD73F6" w:rsidRDefault="00AD73F6" w:rsidP="00AD73F6">
      <w:pPr>
        <w:ind w:left="720"/>
        <w:jc w:val="both"/>
        <w:rPr>
          <w:sz w:val="20"/>
          <w:szCs w:val="20"/>
          <w:lang w:val="en-US"/>
        </w:rPr>
      </w:pPr>
      <w:r w:rsidRPr="00AD73F6">
        <w:rPr>
          <w:b/>
          <w:bCs/>
          <w:sz w:val="20"/>
          <w:szCs w:val="20"/>
          <w:u w:val="single"/>
          <w:lang w:val="en-US"/>
        </w:rPr>
        <w:t>Definition of Beneficial Owner</w:t>
      </w:r>
      <w:r w:rsidR="00135DF0">
        <w:rPr>
          <w:b/>
          <w:bCs/>
          <w:sz w:val="20"/>
          <w:szCs w:val="20"/>
          <w:u w:val="single"/>
          <w:lang w:val="en-US"/>
        </w:rPr>
        <w:t>:</w:t>
      </w:r>
      <w:r w:rsidR="00135DF0">
        <w:rPr>
          <w:sz w:val="20"/>
          <w:szCs w:val="20"/>
          <w:lang w:val="en-US"/>
        </w:rPr>
        <w:t xml:space="preserve"> </w:t>
      </w:r>
      <w:r w:rsidRPr="00AD73F6">
        <w:rPr>
          <w:sz w:val="20"/>
          <w:szCs w:val="20"/>
          <w:lang w:val="en-US"/>
        </w:rPr>
        <w:t>“Beneficial Owner” means a natural person who ultimately owns or controls a company or limited partnership and includes:</w:t>
      </w:r>
    </w:p>
    <w:p w14:paraId="0B3984FD" w14:textId="28715E25" w:rsidR="00AD73F6" w:rsidRPr="00AD73F6" w:rsidRDefault="00AD73F6" w:rsidP="00AD73F6">
      <w:pPr>
        <w:pStyle w:val="ListParagraph"/>
        <w:numPr>
          <w:ilvl w:val="0"/>
          <w:numId w:val="6"/>
        </w:numPr>
        <w:ind w:left="1080"/>
        <w:jc w:val="both"/>
        <w:rPr>
          <w:sz w:val="20"/>
          <w:szCs w:val="20"/>
          <w:lang w:val="en-US"/>
        </w:rPr>
      </w:pPr>
      <w:r w:rsidRPr="00AD73F6">
        <w:rPr>
          <w:sz w:val="20"/>
          <w:szCs w:val="20"/>
          <w:lang w:val="en-US"/>
        </w:rPr>
        <w:t xml:space="preserve">in the case of a legal person other than a company whose securities are listed on a </w:t>
      </w:r>
      <w:proofErr w:type="spellStart"/>
      <w:r w:rsidRPr="00AD73F6">
        <w:rPr>
          <w:sz w:val="20"/>
          <w:szCs w:val="20"/>
          <w:lang w:val="en-US"/>
        </w:rPr>
        <w:t>recognised</w:t>
      </w:r>
      <w:proofErr w:type="spellEnd"/>
      <w:r w:rsidRPr="00AD73F6">
        <w:rPr>
          <w:sz w:val="20"/>
          <w:szCs w:val="20"/>
          <w:lang w:val="en-US"/>
        </w:rPr>
        <w:t xml:space="preserve"> exchange, a natural person who  </w:t>
      </w:r>
    </w:p>
    <w:p w14:paraId="1643C2AF" w14:textId="52D86121" w:rsidR="00AD73F6" w:rsidRPr="00AD73F6" w:rsidRDefault="00AD73F6" w:rsidP="00AD73F6">
      <w:pPr>
        <w:pStyle w:val="ListParagraph"/>
        <w:numPr>
          <w:ilvl w:val="0"/>
          <w:numId w:val="8"/>
        </w:numPr>
        <w:ind w:left="1440"/>
        <w:jc w:val="both"/>
        <w:rPr>
          <w:sz w:val="20"/>
          <w:szCs w:val="20"/>
          <w:lang w:val="en-US"/>
        </w:rPr>
      </w:pPr>
      <w:r w:rsidRPr="00AD73F6">
        <w:rPr>
          <w:sz w:val="20"/>
          <w:szCs w:val="20"/>
          <w:lang w:val="en-US"/>
        </w:rPr>
        <w:t xml:space="preserve">ultimately owns or controls, whether directly or indirectly, 10% or more of the shares or voting rights in the legal </w:t>
      </w:r>
      <w:proofErr w:type="gramStart"/>
      <w:r w:rsidRPr="00AD73F6">
        <w:rPr>
          <w:sz w:val="20"/>
          <w:szCs w:val="20"/>
          <w:lang w:val="en-US"/>
        </w:rPr>
        <w:t>person;</w:t>
      </w:r>
      <w:proofErr w:type="gramEnd"/>
    </w:p>
    <w:p w14:paraId="7CDAD170" w14:textId="34CC2DB6" w:rsidR="00AD73F6" w:rsidRPr="00AD73F6" w:rsidRDefault="00AD73F6" w:rsidP="00AD73F6">
      <w:pPr>
        <w:pStyle w:val="ListParagraph"/>
        <w:numPr>
          <w:ilvl w:val="0"/>
          <w:numId w:val="8"/>
        </w:numPr>
        <w:ind w:left="1440"/>
        <w:jc w:val="both"/>
        <w:rPr>
          <w:sz w:val="20"/>
          <w:szCs w:val="20"/>
          <w:lang w:val="en-US"/>
        </w:rPr>
      </w:pPr>
      <w:r w:rsidRPr="00AD73F6">
        <w:rPr>
          <w:sz w:val="20"/>
          <w:szCs w:val="20"/>
          <w:lang w:val="en-US"/>
        </w:rPr>
        <w:t xml:space="preserve">holds, directly or indirectly, the right to appoint or remove </w:t>
      </w:r>
      <w:proofErr w:type="gramStart"/>
      <w:r w:rsidRPr="00AD73F6">
        <w:rPr>
          <w:sz w:val="20"/>
          <w:szCs w:val="20"/>
          <w:lang w:val="en-US"/>
        </w:rPr>
        <w:t>a majority of</w:t>
      </w:r>
      <w:proofErr w:type="gramEnd"/>
      <w:r w:rsidRPr="00AD73F6">
        <w:rPr>
          <w:sz w:val="20"/>
          <w:szCs w:val="20"/>
          <w:lang w:val="en-US"/>
        </w:rPr>
        <w:t xml:space="preserve"> the directors of the board (“board of directors”) of the legal person; or  </w:t>
      </w:r>
    </w:p>
    <w:p w14:paraId="6078E3DB" w14:textId="66B2CC81" w:rsidR="00AD73F6" w:rsidRPr="00AD73F6" w:rsidRDefault="00AD73F6" w:rsidP="00AD73F6">
      <w:pPr>
        <w:pStyle w:val="ListParagraph"/>
        <w:numPr>
          <w:ilvl w:val="0"/>
          <w:numId w:val="8"/>
        </w:numPr>
        <w:ind w:left="1440"/>
        <w:jc w:val="both"/>
        <w:rPr>
          <w:sz w:val="20"/>
          <w:szCs w:val="20"/>
          <w:lang w:val="en-US"/>
        </w:rPr>
      </w:pPr>
      <w:proofErr w:type="gramStart"/>
      <w:r w:rsidRPr="00AD73F6">
        <w:rPr>
          <w:sz w:val="20"/>
          <w:szCs w:val="20"/>
          <w:lang w:val="en-US"/>
        </w:rPr>
        <w:t>otherwise</w:t>
      </w:r>
      <w:proofErr w:type="gramEnd"/>
      <w:r w:rsidRPr="00AD73F6">
        <w:rPr>
          <w:sz w:val="20"/>
          <w:szCs w:val="20"/>
          <w:lang w:val="en-US"/>
        </w:rPr>
        <w:t xml:space="preserve"> exercises </w:t>
      </w:r>
      <w:proofErr w:type="gramStart"/>
      <w:r w:rsidRPr="00AD73F6">
        <w:rPr>
          <w:sz w:val="20"/>
          <w:szCs w:val="20"/>
          <w:lang w:val="en-US"/>
        </w:rPr>
        <w:t>control over</w:t>
      </w:r>
      <w:proofErr w:type="gramEnd"/>
      <w:r w:rsidRPr="00AD73F6">
        <w:rPr>
          <w:sz w:val="20"/>
          <w:szCs w:val="20"/>
          <w:lang w:val="en-US"/>
        </w:rPr>
        <w:t xml:space="preserve"> the management of the legal </w:t>
      </w:r>
      <w:proofErr w:type="gramStart"/>
      <w:r w:rsidRPr="00AD73F6">
        <w:rPr>
          <w:sz w:val="20"/>
          <w:szCs w:val="20"/>
          <w:lang w:val="en-US"/>
        </w:rPr>
        <w:t>person;</w:t>
      </w:r>
      <w:proofErr w:type="gramEnd"/>
      <w:r w:rsidRPr="00AD73F6">
        <w:rPr>
          <w:sz w:val="20"/>
          <w:szCs w:val="20"/>
          <w:lang w:val="en-US"/>
        </w:rPr>
        <w:t xml:space="preserve">  </w:t>
      </w:r>
    </w:p>
    <w:p w14:paraId="18CA2134" w14:textId="63EE7FD8" w:rsidR="00AD73F6" w:rsidRPr="00AD73F6" w:rsidRDefault="00AD73F6" w:rsidP="00AD73F6">
      <w:pPr>
        <w:pStyle w:val="ListParagraph"/>
        <w:numPr>
          <w:ilvl w:val="0"/>
          <w:numId w:val="6"/>
        </w:numPr>
        <w:ind w:left="1080"/>
        <w:jc w:val="both"/>
        <w:rPr>
          <w:sz w:val="20"/>
          <w:szCs w:val="20"/>
          <w:lang w:val="en-US"/>
        </w:rPr>
      </w:pPr>
      <w:r w:rsidRPr="00AD73F6">
        <w:rPr>
          <w:sz w:val="20"/>
          <w:szCs w:val="20"/>
          <w:lang w:val="en-US"/>
        </w:rPr>
        <w:t xml:space="preserve">in the case of a limited partnership, a natural person who </w:t>
      </w:r>
    </w:p>
    <w:p w14:paraId="56E3F811" w14:textId="4A87B62A" w:rsidR="00AD73F6" w:rsidRPr="00AD73F6" w:rsidRDefault="00AD73F6" w:rsidP="00AD73F6">
      <w:pPr>
        <w:pStyle w:val="ListParagraph"/>
        <w:numPr>
          <w:ilvl w:val="0"/>
          <w:numId w:val="10"/>
        </w:numPr>
        <w:jc w:val="both"/>
        <w:rPr>
          <w:sz w:val="20"/>
          <w:szCs w:val="20"/>
          <w:lang w:val="en-US"/>
        </w:rPr>
      </w:pPr>
      <w:r w:rsidRPr="00AD73F6">
        <w:rPr>
          <w:sz w:val="20"/>
          <w:szCs w:val="20"/>
          <w:lang w:val="en-US"/>
        </w:rPr>
        <w:t xml:space="preserve">is ultimately entitled to or controls, whether directly or indirectly, 10% or more share of the capital or profits of the partnership or 10% or more voting rights in the partnership; or </w:t>
      </w:r>
    </w:p>
    <w:p w14:paraId="493541BC" w14:textId="652FDBD2" w:rsidR="00AD73F6" w:rsidRPr="00AD73F6" w:rsidRDefault="00AD73F6" w:rsidP="00AD73F6">
      <w:pPr>
        <w:pStyle w:val="ListParagraph"/>
        <w:numPr>
          <w:ilvl w:val="0"/>
          <w:numId w:val="10"/>
        </w:numPr>
        <w:jc w:val="both"/>
        <w:rPr>
          <w:sz w:val="20"/>
          <w:szCs w:val="20"/>
          <w:lang w:val="en-US"/>
        </w:rPr>
      </w:pPr>
      <w:proofErr w:type="gramStart"/>
      <w:r w:rsidRPr="00AD73F6">
        <w:rPr>
          <w:sz w:val="20"/>
          <w:szCs w:val="20"/>
          <w:lang w:val="en-US"/>
        </w:rPr>
        <w:t>otherwise</w:t>
      </w:r>
      <w:proofErr w:type="gramEnd"/>
      <w:r w:rsidRPr="00AD73F6">
        <w:rPr>
          <w:sz w:val="20"/>
          <w:szCs w:val="20"/>
          <w:lang w:val="en-US"/>
        </w:rPr>
        <w:t xml:space="preserve"> exercises </w:t>
      </w:r>
      <w:proofErr w:type="gramStart"/>
      <w:r w:rsidRPr="00AD73F6">
        <w:rPr>
          <w:sz w:val="20"/>
          <w:szCs w:val="20"/>
          <w:lang w:val="en-US"/>
        </w:rPr>
        <w:t>control over the</w:t>
      </w:r>
      <w:proofErr w:type="gramEnd"/>
      <w:r w:rsidRPr="00AD73F6">
        <w:rPr>
          <w:sz w:val="20"/>
          <w:szCs w:val="20"/>
          <w:lang w:val="en-US"/>
        </w:rPr>
        <w:t xml:space="preserve"> management of the partnership; and </w:t>
      </w:r>
    </w:p>
    <w:p w14:paraId="1B27AB02" w14:textId="5FA36001" w:rsidR="00AD73F6" w:rsidRPr="00AD73F6" w:rsidRDefault="00AD73F6" w:rsidP="00AD73F6">
      <w:pPr>
        <w:pStyle w:val="ListParagraph"/>
        <w:numPr>
          <w:ilvl w:val="0"/>
          <w:numId w:val="6"/>
        </w:numPr>
        <w:ind w:left="1080"/>
        <w:jc w:val="both"/>
        <w:rPr>
          <w:sz w:val="20"/>
          <w:szCs w:val="20"/>
          <w:lang w:val="en-US"/>
        </w:rPr>
      </w:pPr>
      <w:r w:rsidRPr="00AD73F6">
        <w:rPr>
          <w:sz w:val="20"/>
          <w:szCs w:val="20"/>
          <w:lang w:val="en-US"/>
        </w:rPr>
        <w:t xml:space="preserve">in the case of </w:t>
      </w:r>
      <w:proofErr w:type="gramStart"/>
      <w:r w:rsidRPr="00AD73F6">
        <w:rPr>
          <w:sz w:val="20"/>
          <w:szCs w:val="20"/>
          <w:lang w:val="en-US"/>
        </w:rPr>
        <w:t>a trust</w:t>
      </w:r>
      <w:proofErr w:type="gramEnd"/>
      <w:r w:rsidRPr="00AD73F6">
        <w:rPr>
          <w:sz w:val="20"/>
          <w:szCs w:val="20"/>
          <w:lang w:val="en-US"/>
        </w:rPr>
        <w:t xml:space="preserve"> </w:t>
      </w:r>
    </w:p>
    <w:p w14:paraId="5BD830CF" w14:textId="3A36E303" w:rsidR="00AD73F6" w:rsidRPr="00AD73F6" w:rsidRDefault="00AD73F6" w:rsidP="00AD73F6">
      <w:pPr>
        <w:pStyle w:val="ListParagraph"/>
        <w:numPr>
          <w:ilvl w:val="0"/>
          <w:numId w:val="11"/>
        </w:numPr>
        <w:jc w:val="both"/>
        <w:rPr>
          <w:sz w:val="20"/>
          <w:szCs w:val="20"/>
          <w:lang w:val="en-US"/>
        </w:rPr>
      </w:pPr>
      <w:r w:rsidRPr="00AD73F6">
        <w:rPr>
          <w:sz w:val="20"/>
          <w:szCs w:val="20"/>
          <w:lang w:val="en-US"/>
        </w:rPr>
        <w:t xml:space="preserve">the </w:t>
      </w:r>
      <w:proofErr w:type="gramStart"/>
      <w:r w:rsidRPr="00AD73F6">
        <w:rPr>
          <w:sz w:val="20"/>
          <w:szCs w:val="20"/>
          <w:lang w:val="en-US"/>
        </w:rPr>
        <w:t>trustee;</w:t>
      </w:r>
      <w:proofErr w:type="gramEnd"/>
      <w:r w:rsidRPr="00AD73F6">
        <w:rPr>
          <w:sz w:val="20"/>
          <w:szCs w:val="20"/>
          <w:lang w:val="en-US"/>
        </w:rPr>
        <w:t xml:space="preserve"> </w:t>
      </w:r>
    </w:p>
    <w:p w14:paraId="0FD5612D" w14:textId="64B86BBB" w:rsidR="00AD73F6" w:rsidRPr="00AD73F6" w:rsidRDefault="00AD73F6" w:rsidP="00AD73F6">
      <w:pPr>
        <w:pStyle w:val="ListParagraph"/>
        <w:numPr>
          <w:ilvl w:val="0"/>
          <w:numId w:val="11"/>
        </w:numPr>
        <w:jc w:val="both"/>
        <w:rPr>
          <w:sz w:val="20"/>
          <w:szCs w:val="20"/>
          <w:lang w:val="en-US"/>
        </w:rPr>
      </w:pPr>
      <w:r w:rsidRPr="00AD73F6">
        <w:rPr>
          <w:sz w:val="20"/>
          <w:szCs w:val="20"/>
          <w:lang w:val="en-US"/>
        </w:rPr>
        <w:t xml:space="preserve">the </w:t>
      </w:r>
      <w:proofErr w:type="gramStart"/>
      <w:r w:rsidRPr="00AD73F6">
        <w:rPr>
          <w:sz w:val="20"/>
          <w:szCs w:val="20"/>
          <w:lang w:val="en-US"/>
        </w:rPr>
        <w:t>settlor</w:t>
      </w:r>
      <w:proofErr w:type="gramEnd"/>
      <w:r w:rsidRPr="00AD73F6">
        <w:rPr>
          <w:sz w:val="20"/>
          <w:szCs w:val="20"/>
          <w:lang w:val="en-US"/>
        </w:rPr>
        <w:t xml:space="preserve"> or other person by whom the trust is </w:t>
      </w:r>
      <w:proofErr w:type="gramStart"/>
      <w:r w:rsidRPr="00AD73F6">
        <w:rPr>
          <w:sz w:val="20"/>
          <w:szCs w:val="20"/>
          <w:lang w:val="en-US"/>
        </w:rPr>
        <w:t>made;</w:t>
      </w:r>
      <w:proofErr w:type="gramEnd"/>
      <w:r w:rsidRPr="00AD73F6">
        <w:rPr>
          <w:sz w:val="20"/>
          <w:szCs w:val="20"/>
          <w:lang w:val="en-US"/>
        </w:rPr>
        <w:t xml:space="preserve"> </w:t>
      </w:r>
    </w:p>
    <w:p w14:paraId="07FDA503" w14:textId="640C6202" w:rsidR="00AD73F6" w:rsidRPr="00AD73F6" w:rsidRDefault="00AD73F6" w:rsidP="00AD73F6">
      <w:pPr>
        <w:pStyle w:val="ListParagraph"/>
        <w:numPr>
          <w:ilvl w:val="0"/>
          <w:numId w:val="11"/>
        </w:numPr>
        <w:jc w:val="both"/>
        <w:rPr>
          <w:sz w:val="20"/>
          <w:szCs w:val="20"/>
          <w:lang w:val="en-US"/>
        </w:rPr>
      </w:pPr>
      <w:r w:rsidRPr="00AD73F6">
        <w:rPr>
          <w:sz w:val="20"/>
          <w:szCs w:val="20"/>
          <w:lang w:val="en-US"/>
        </w:rPr>
        <w:t xml:space="preserve">the protector, if </w:t>
      </w:r>
      <w:proofErr w:type="gramStart"/>
      <w:r w:rsidRPr="00AD73F6">
        <w:rPr>
          <w:sz w:val="20"/>
          <w:szCs w:val="20"/>
          <w:lang w:val="en-US"/>
        </w:rPr>
        <w:t>any;</w:t>
      </w:r>
      <w:proofErr w:type="gramEnd"/>
      <w:r w:rsidRPr="00AD73F6">
        <w:rPr>
          <w:sz w:val="20"/>
          <w:szCs w:val="20"/>
          <w:lang w:val="en-US"/>
        </w:rPr>
        <w:t xml:space="preserve"> </w:t>
      </w:r>
    </w:p>
    <w:p w14:paraId="7A927328" w14:textId="3C1B626E" w:rsidR="00AD73F6" w:rsidRPr="00AD73F6" w:rsidRDefault="00AD73F6" w:rsidP="00AD73F6">
      <w:pPr>
        <w:pStyle w:val="ListParagraph"/>
        <w:numPr>
          <w:ilvl w:val="0"/>
          <w:numId w:val="11"/>
        </w:numPr>
        <w:jc w:val="both"/>
        <w:rPr>
          <w:sz w:val="20"/>
          <w:szCs w:val="20"/>
          <w:lang w:val="en-US"/>
        </w:rPr>
      </w:pPr>
      <w:r w:rsidRPr="00AD73F6">
        <w:rPr>
          <w:sz w:val="20"/>
          <w:szCs w:val="20"/>
          <w:lang w:val="en-US"/>
        </w:rPr>
        <w:t xml:space="preserve">the beneficiaries or class of beneficiaries with a vested interest in the trust at the time of or before distribution of any trust property or income; and </w:t>
      </w:r>
    </w:p>
    <w:p w14:paraId="4ACA4E74" w14:textId="36BED1F1" w:rsidR="00AD73F6" w:rsidRPr="00AD73F6" w:rsidRDefault="00AD73F6" w:rsidP="00AD73F6">
      <w:pPr>
        <w:pStyle w:val="ListParagraph"/>
        <w:numPr>
          <w:ilvl w:val="0"/>
          <w:numId w:val="11"/>
        </w:numPr>
        <w:jc w:val="both"/>
        <w:rPr>
          <w:sz w:val="20"/>
          <w:szCs w:val="20"/>
          <w:lang w:val="en-US"/>
        </w:rPr>
      </w:pPr>
      <w:r w:rsidRPr="00AD73F6">
        <w:rPr>
          <w:sz w:val="20"/>
          <w:szCs w:val="20"/>
          <w:lang w:val="en-US"/>
        </w:rPr>
        <w:t>any other natural person exercising ultimate effective control over the trust (including through a chain of control or ownership).</w:t>
      </w:r>
    </w:p>
    <w:p w14:paraId="00156E94" w14:textId="77777777" w:rsidR="00AD73F6" w:rsidRPr="00AD73F6" w:rsidRDefault="00AD73F6" w:rsidP="00BF5973">
      <w:pPr>
        <w:jc w:val="both"/>
        <w:rPr>
          <w:sz w:val="20"/>
          <w:szCs w:val="20"/>
          <w:lang w:val="en-US"/>
        </w:rPr>
      </w:pPr>
    </w:p>
    <w:p w14:paraId="2001CECA" w14:textId="5A7939BF" w:rsidR="001025C4" w:rsidRPr="00135DF0" w:rsidRDefault="001025C4" w:rsidP="00135DF0">
      <w:pPr>
        <w:ind w:left="720"/>
        <w:jc w:val="both"/>
        <w:rPr>
          <w:b/>
          <w:bCs/>
          <w:sz w:val="20"/>
          <w:szCs w:val="20"/>
          <w:u w:val="single"/>
          <w:lang w:val="en-US"/>
        </w:rPr>
      </w:pPr>
      <w:r w:rsidRPr="00AD73F6">
        <w:rPr>
          <w:b/>
          <w:bCs/>
          <w:sz w:val="20"/>
          <w:szCs w:val="20"/>
          <w:u w:val="single"/>
          <w:lang w:val="en-US"/>
        </w:rPr>
        <w:t>Exemptions</w:t>
      </w:r>
      <w:r w:rsidR="00135DF0">
        <w:rPr>
          <w:b/>
          <w:bCs/>
          <w:sz w:val="20"/>
          <w:szCs w:val="20"/>
          <w:u w:val="single"/>
          <w:lang w:val="en-US"/>
        </w:rPr>
        <w:t>:</w:t>
      </w:r>
      <w:r w:rsidR="00135DF0" w:rsidRPr="00135DF0">
        <w:rPr>
          <w:sz w:val="20"/>
          <w:szCs w:val="20"/>
          <w:lang w:val="en-US"/>
        </w:rPr>
        <w:t xml:space="preserve"> </w:t>
      </w:r>
      <w:r w:rsidRPr="00AD73F6">
        <w:rPr>
          <w:sz w:val="20"/>
          <w:szCs w:val="20"/>
          <w:lang w:val="en-US"/>
        </w:rPr>
        <w:t>The requirement to file beneficial ownership information does not apply to a company:</w:t>
      </w:r>
    </w:p>
    <w:p w14:paraId="36758263" w14:textId="28AF0BB0" w:rsidR="001025C4" w:rsidRDefault="001025C4" w:rsidP="00BF5973">
      <w:pPr>
        <w:pStyle w:val="ListParagraph"/>
        <w:numPr>
          <w:ilvl w:val="0"/>
          <w:numId w:val="3"/>
        </w:numPr>
        <w:ind w:left="1440"/>
        <w:jc w:val="both"/>
        <w:rPr>
          <w:sz w:val="20"/>
          <w:szCs w:val="20"/>
          <w:lang w:val="en-US"/>
        </w:rPr>
      </w:pPr>
      <w:r w:rsidRPr="00AD73F6">
        <w:rPr>
          <w:sz w:val="20"/>
          <w:szCs w:val="20"/>
          <w:lang w:val="en-US"/>
        </w:rPr>
        <w:t>whose shares are listed on a recognized</w:t>
      </w:r>
      <w:r w:rsidR="00BF5973" w:rsidRPr="00AD73F6">
        <w:rPr>
          <w:sz w:val="20"/>
          <w:szCs w:val="20"/>
          <w:lang w:val="en-US"/>
        </w:rPr>
        <w:t xml:space="preserve"> stock</w:t>
      </w:r>
      <w:r w:rsidRPr="00AD73F6">
        <w:rPr>
          <w:sz w:val="20"/>
          <w:szCs w:val="20"/>
          <w:lang w:val="en-US"/>
        </w:rPr>
        <w:t xml:space="preserve"> exchange</w:t>
      </w:r>
      <w:r w:rsidR="00C859FC">
        <w:rPr>
          <w:sz w:val="20"/>
          <w:szCs w:val="20"/>
          <w:lang w:val="en-US"/>
        </w:rPr>
        <w:t xml:space="preserve"> (see attached list</w:t>
      </w:r>
      <w:proofErr w:type="gramStart"/>
      <w:r w:rsidR="00C859FC">
        <w:rPr>
          <w:sz w:val="20"/>
          <w:szCs w:val="20"/>
          <w:lang w:val="en-US"/>
        </w:rPr>
        <w:t>)</w:t>
      </w:r>
      <w:r w:rsidRPr="00AD73F6">
        <w:rPr>
          <w:sz w:val="20"/>
          <w:szCs w:val="20"/>
          <w:lang w:val="en-US"/>
        </w:rPr>
        <w:t>;</w:t>
      </w:r>
      <w:proofErr w:type="gramEnd"/>
      <w:r w:rsidRPr="00AD73F6">
        <w:rPr>
          <w:sz w:val="20"/>
          <w:szCs w:val="20"/>
          <w:lang w:val="en-US"/>
        </w:rPr>
        <w:t xml:space="preserve"> </w:t>
      </w:r>
    </w:p>
    <w:p w14:paraId="6A976482" w14:textId="77777777" w:rsidR="00C859FC" w:rsidRPr="00AD73F6" w:rsidRDefault="00C859FC" w:rsidP="00C859FC">
      <w:pPr>
        <w:pStyle w:val="ListParagraph"/>
        <w:numPr>
          <w:ilvl w:val="0"/>
          <w:numId w:val="3"/>
        </w:numPr>
        <w:ind w:left="1440"/>
        <w:jc w:val="both"/>
        <w:rPr>
          <w:sz w:val="20"/>
          <w:szCs w:val="20"/>
          <w:lang w:val="en-US"/>
        </w:rPr>
      </w:pPr>
      <w:r w:rsidRPr="00AD73F6">
        <w:rPr>
          <w:sz w:val="20"/>
          <w:szCs w:val="20"/>
          <w:lang w:val="en-US"/>
        </w:rPr>
        <w:t xml:space="preserve">that is a private fund, professional fund, public fund, private investment fund, incubator fund or approved fund and the company’s beneficial owner information is held by a person who holds a Category 6 investment business </w:t>
      </w:r>
      <w:proofErr w:type="spellStart"/>
      <w:r w:rsidRPr="00AD73F6">
        <w:rPr>
          <w:sz w:val="20"/>
          <w:szCs w:val="20"/>
          <w:lang w:val="en-US"/>
        </w:rPr>
        <w:t>licence</w:t>
      </w:r>
      <w:proofErr w:type="spellEnd"/>
      <w:r w:rsidRPr="00AD73F6">
        <w:rPr>
          <w:sz w:val="20"/>
          <w:szCs w:val="20"/>
          <w:lang w:val="en-US"/>
        </w:rPr>
        <w:t xml:space="preserve"> or its authorized representative or other person licensed by the FSC that has a physical presence in the BVI and the beneficial ownership information can be provided to the Registrar within 24 hours of request;</w:t>
      </w:r>
    </w:p>
    <w:p w14:paraId="1FCFB3AB" w14:textId="44ED3E44" w:rsidR="00211D26" w:rsidRPr="00AD73F6" w:rsidRDefault="00211D26" w:rsidP="00211D26">
      <w:pPr>
        <w:pStyle w:val="ListParagraph"/>
        <w:numPr>
          <w:ilvl w:val="0"/>
          <w:numId w:val="3"/>
        </w:numPr>
        <w:ind w:left="1440"/>
        <w:jc w:val="both"/>
        <w:rPr>
          <w:sz w:val="20"/>
          <w:szCs w:val="20"/>
          <w:lang w:val="en-US"/>
        </w:rPr>
      </w:pPr>
      <w:r w:rsidRPr="00AD73F6">
        <w:rPr>
          <w:sz w:val="20"/>
          <w:szCs w:val="20"/>
          <w:lang w:val="en-US"/>
        </w:rPr>
        <w:t>whose shares are held by a trustee licensed under the Banks and Trust Companies Act</w:t>
      </w:r>
      <w:r>
        <w:rPr>
          <w:sz w:val="20"/>
          <w:szCs w:val="20"/>
          <w:lang w:val="en-US"/>
        </w:rPr>
        <w:t xml:space="preserve"> or by a trustee</w:t>
      </w:r>
      <w:r w:rsidRPr="00DD3A36">
        <w:rPr>
          <w:sz w:val="20"/>
          <w:szCs w:val="20"/>
          <w:lang w:val="en-US"/>
        </w:rPr>
        <w:t xml:space="preserve"> regulated for anti-money laundering, anti-terrorist financing and anti-proliferation financing purposes in a country other than the Virgin Islands</w:t>
      </w:r>
      <w:r>
        <w:rPr>
          <w:sz w:val="20"/>
          <w:szCs w:val="20"/>
          <w:lang w:val="en-US"/>
        </w:rPr>
        <w:t xml:space="preserve"> </w:t>
      </w:r>
      <w:r w:rsidRPr="00AD73F6">
        <w:rPr>
          <w:sz w:val="20"/>
          <w:szCs w:val="20"/>
          <w:lang w:val="en-US"/>
        </w:rPr>
        <w:t xml:space="preserve">and the company’s beneficial owner information is held </w:t>
      </w:r>
      <w:r>
        <w:rPr>
          <w:sz w:val="20"/>
          <w:szCs w:val="20"/>
          <w:lang w:val="en-US"/>
        </w:rPr>
        <w:t>by its trustee</w:t>
      </w:r>
      <w:r w:rsidRPr="00AD73F6">
        <w:rPr>
          <w:sz w:val="20"/>
          <w:szCs w:val="20"/>
          <w:lang w:val="en-US"/>
        </w:rPr>
        <w:t xml:space="preserve"> and the beneficial ownership information can be provided to the Registrar within 24 hours of request; </w:t>
      </w:r>
    </w:p>
    <w:p w14:paraId="176CFD01" w14:textId="77777777" w:rsidR="00C859FC" w:rsidRDefault="00C859FC" w:rsidP="00C859FC">
      <w:pPr>
        <w:pStyle w:val="ListParagraph"/>
        <w:numPr>
          <w:ilvl w:val="0"/>
          <w:numId w:val="3"/>
        </w:numPr>
        <w:ind w:left="1440"/>
        <w:jc w:val="both"/>
        <w:rPr>
          <w:sz w:val="20"/>
          <w:szCs w:val="20"/>
          <w:lang w:val="en-US"/>
        </w:rPr>
      </w:pPr>
      <w:r w:rsidRPr="00AD73F6">
        <w:rPr>
          <w:sz w:val="20"/>
          <w:szCs w:val="20"/>
          <w:lang w:val="en-US"/>
        </w:rPr>
        <w:lastRenderedPageBreak/>
        <w:t xml:space="preserve">is a subsidiary of another legal entity (the “Parent”) that is subject to the filing of Beneficial Ownership Information, where the Parent holds directly or indirectly 75% or more beneficial interest or voting </w:t>
      </w:r>
      <w:proofErr w:type="gramStart"/>
      <w:r w:rsidRPr="00AD73F6">
        <w:rPr>
          <w:sz w:val="20"/>
          <w:szCs w:val="20"/>
          <w:lang w:val="en-US"/>
        </w:rPr>
        <w:t>rights;</w:t>
      </w:r>
      <w:proofErr w:type="gramEnd"/>
    </w:p>
    <w:p w14:paraId="19D26CD5" w14:textId="76C2589A" w:rsidR="00C859FC" w:rsidRPr="00AD73F6" w:rsidRDefault="00C859FC" w:rsidP="00C859FC">
      <w:pPr>
        <w:pStyle w:val="ListParagraph"/>
        <w:numPr>
          <w:ilvl w:val="0"/>
          <w:numId w:val="3"/>
        </w:numPr>
        <w:ind w:left="1440"/>
        <w:jc w:val="both"/>
        <w:rPr>
          <w:sz w:val="20"/>
          <w:szCs w:val="20"/>
          <w:lang w:val="en-US"/>
        </w:rPr>
      </w:pPr>
      <w:r>
        <w:rPr>
          <w:sz w:val="20"/>
          <w:szCs w:val="20"/>
          <w:lang w:val="en-US"/>
        </w:rPr>
        <w:t xml:space="preserve">that </w:t>
      </w:r>
      <w:r w:rsidRPr="00AD73F6">
        <w:rPr>
          <w:sz w:val="20"/>
          <w:szCs w:val="20"/>
          <w:lang w:val="en-US"/>
        </w:rPr>
        <w:t>is subject to disclosure and transparency rules that are contained in international standards and are equivalent to those applicable to specific funds (copy of license is required</w:t>
      </w:r>
      <w:proofErr w:type="gramStart"/>
      <w:r w:rsidRPr="00AD73F6">
        <w:rPr>
          <w:sz w:val="20"/>
          <w:szCs w:val="20"/>
          <w:lang w:val="en-US"/>
        </w:rPr>
        <w:t>)</w:t>
      </w:r>
      <w:r>
        <w:rPr>
          <w:sz w:val="20"/>
          <w:szCs w:val="20"/>
          <w:lang w:val="en-US"/>
        </w:rPr>
        <w:t>;</w:t>
      </w:r>
      <w:proofErr w:type="gramEnd"/>
    </w:p>
    <w:p w14:paraId="47B78FB3" w14:textId="77777777" w:rsidR="00C859FC" w:rsidRDefault="00C859FC" w:rsidP="00C859FC">
      <w:pPr>
        <w:pStyle w:val="ListParagraph"/>
        <w:numPr>
          <w:ilvl w:val="0"/>
          <w:numId w:val="3"/>
        </w:numPr>
        <w:ind w:left="1440"/>
        <w:jc w:val="both"/>
        <w:rPr>
          <w:sz w:val="20"/>
          <w:szCs w:val="20"/>
          <w:lang w:val="en-US"/>
        </w:rPr>
      </w:pPr>
      <w:r w:rsidRPr="00C859FC">
        <w:rPr>
          <w:sz w:val="20"/>
          <w:szCs w:val="20"/>
          <w:lang w:val="en-US"/>
        </w:rPr>
        <w:t xml:space="preserve">that is a subsidiary of a fund (including a foreign fund), provided that the fund collects, keeps and maintains adequate, accurate and up to date information on the beneficial owners of the legal entity and can provide that information to the Registrar within 24 hours upon </w:t>
      </w:r>
      <w:proofErr w:type="gramStart"/>
      <w:r w:rsidRPr="00C859FC">
        <w:rPr>
          <w:sz w:val="20"/>
          <w:szCs w:val="20"/>
          <w:lang w:val="en-US"/>
        </w:rPr>
        <w:t>request</w:t>
      </w:r>
      <w:r>
        <w:rPr>
          <w:sz w:val="20"/>
          <w:szCs w:val="20"/>
          <w:lang w:val="en-US"/>
        </w:rPr>
        <w:t>;</w:t>
      </w:r>
      <w:proofErr w:type="gramEnd"/>
    </w:p>
    <w:p w14:paraId="29BD1B01" w14:textId="4BF41709" w:rsidR="00211D26" w:rsidRPr="00AD73F6" w:rsidRDefault="00211D26" w:rsidP="00C859FC">
      <w:pPr>
        <w:pStyle w:val="ListParagraph"/>
        <w:numPr>
          <w:ilvl w:val="0"/>
          <w:numId w:val="3"/>
        </w:numPr>
        <w:ind w:left="1440"/>
        <w:jc w:val="both"/>
        <w:rPr>
          <w:sz w:val="20"/>
          <w:szCs w:val="20"/>
          <w:lang w:val="en-US"/>
        </w:rPr>
      </w:pPr>
      <w:r>
        <w:rPr>
          <w:sz w:val="20"/>
          <w:szCs w:val="20"/>
          <w:lang w:val="en-US"/>
        </w:rPr>
        <w:t xml:space="preserve">that is a </w:t>
      </w:r>
      <w:r w:rsidRPr="00C859FC">
        <w:rPr>
          <w:sz w:val="20"/>
          <w:szCs w:val="20"/>
          <w:lang w:val="en-US"/>
        </w:rPr>
        <w:t xml:space="preserve">subsidiary of a company which is listed on a </w:t>
      </w:r>
      <w:proofErr w:type="spellStart"/>
      <w:r w:rsidRPr="00C859FC">
        <w:rPr>
          <w:sz w:val="20"/>
          <w:szCs w:val="20"/>
          <w:lang w:val="en-US"/>
        </w:rPr>
        <w:t>recognised</w:t>
      </w:r>
      <w:proofErr w:type="spellEnd"/>
      <w:r w:rsidRPr="00C859FC">
        <w:rPr>
          <w:sz w:val="20"/>
          <w:szCs w:val="20"/>
          <w:lang w:val="en-US"/>
        </w:rPr>
        <w:t xml:space="preserve"> exchang</w:t>
      </w:r>
      <w:r>
        <w:rPr>
          <w:sz w:val="20"/>
          <w:szCs w:val="20"/>
          <w:lang w:val="en-US"/>
        </w:rPr>
        <w:t>e; or</w:t>
      </w:r>
    </w:p>
    <w:p w14:paraId="7A395748" w14:textId="5DDC591A" w:rsidR="00C859FC" w:rsidRPr="00AD73F6" w:rsidRDefault="00C859FC" w:rsidP="00BF5973">
      <w:pPr>
        <w:pStyle w:val="ListParagraph"/>
        <w:numPr>
          <w:ilvl w:val="0"/>
          <w:numId w:val="3"/>
        </w:numPr>
        <w:ind w:left="1440"/>
        <w:jc w:val="both"/>
        <w:rPr>
          <w:sz w:val="20"/>
          <w:szCs w:val="20"/>
          <w:lang w:val="en-US"/>
        </w:rPr>
      </w:pPr>
      <w:r w:rsidRPr="00C859FC">
        <w:rPr>
          <w:sz w:val="20"/>
          <w:szCs w:val="20"/>
          <w:lang w:val="en-US"/>
        </w:rPr>
        <w:t>in which the Government of the Virgin Islands or the government of a foreign country or territory holds more than 50% of the shares or voting rights</w:t>
      </w:r>
      <w:r w:rsidR="00211D26">
        <w:rPr>
          <w:sz w:val="20"/>
          <w:szCs w:val="20"/>
          <w:lang w:val="en-US"/>
        </w:rPr>
        <w:t>.</w:t>
      </w:r>
    </w:p>
    <w:p w14:paraId="2F3ED05B" w14:textId="77777777" w:rsidR="001025C4" w:rsidRPr="00AD73F6" w:rsidRDefault="001025C4" w:rsidP="00BF5973">
      <w:pPr>
        <w:jc w:val="both"/>
        <w:rPr>
          <w:sz w:val="20"/>
          <w:szCs w:val="20"/>
          <w:lang w:val="en-US"/>
        </w:rPr>
      </w:pPr>
    </w:p>
    <w:p w14:paraId="3C8E3ACA" w14:textId="1EF80D82" w:rsidR="00135DF0" w:rsidRPr="00135DF0" w:rsidRDefault="00135DF0" w:rsidP="00135DF0">
      <w:pPr>
        <w:pStyle w:val="ListParagraph"/>
        <w:numPr>
          <w:ilvl w:val="0"/>
          <w:numId w:val="12"/>
        </w:numPr>
        <w:jc w:val="both"/>
        <w:rPr>
          <w:sz w:val="20"/>
          <w:szCs w:val="20"/>
          <w:lang w:val="en-US"/>
        </w:rPr>
      </w:pPr>
      <w:r>
        <w:rPr>
          <w:sz w:val="20"/>
          <w:szCs w:val="20"/>
          <w:lang w:val="en-US"/>
        </w:rPr>
        <w:t xml:space="preserve">Companies eligible for exemption must file for exemption no later than </w:t>
      </w:r>
      <w:r w:rsidR="00355D2A">
        <w:rPr>
          <w:sz w:val="20"/>
          <w:szCs w:val="20"/>
          <w:lang w:val="en-US"/>
        </w:rPr>
        <w:t>31</w:t>
      </w:r>
      <w:r w:rsidR="00355D2A" w:rsidRPr="00AD73F6">
        <w:rPr>
          <w:sz w:val="20"/>
          <w:szCs w:val="20"/>
          <w:lang w:val="en-US"/>
        </w:rPr>
        <w:t xml:space="preserve"> </w:t>
      </w:r>
      <w:r w:rsidR="00355D2A">
        <w:rPr>
          <w:sz w:val="20"/>
          <w:szCs w:val="20"/>
          <w:lang w:val="en-US"/>
        </w:rPr>
        <w:t>December</w:t>
      </w:r>
      <w:r w:rsidR="00355D2A" w:rsidRPr="00AD73F6">
        <w:rPr>
          <w:sz w:val="20"/>
          <w:szCs w:val="20"/>
          <w:lang w:val="en-US"/>
        </w:rPr>
        <w:t xml:space="preserve"> </w:t>
      </w:r>
      <w:r>
        <w:rPr>
          <w:sz w:val="20"/>
          <w:szCs w:val="20"/>
          <w:lang w:val="en-US"/>
        </w:rPr>
        <w:t>2025</w:t>
      </w:r>
    </w:p>
    <w:p w14:paraId="21F60EC8" w14:textId="77777777" w:rsidR="002F7A27" w:rsidRDefault="002F7A27">
      <w:pPr>
        <w:rPr>
          <w:b/>
          <w:bCs/>
          <w:sz w:val="20"/>
          <w:szCs w:val="20"/>
          <w:u w:val="single"/>
          <w:lang w:val="en-US"/>
        </w:rPr>
      </w:pPr>
      <w:r>
        <w:rPr>
          <w:b/>
          <w:bCs/>
          <w:sz w:val="20"/>
          <w:szCs w:val="20"/>
          <w:u w:val="single"/>
          <w:lang w:val="en-US"/>
        </w:rPr>
        <w:br w:type="page"/>
      </w:r>
    </w:p>
    <w:p w14:paraId="4CA4A50A" w14:textId="08A0F57A" w:rsidR="002840C2" w:rsidRPr="00AD73F6" w:rsidRDefault="00655E34" w:rsidP="00BF5973">
      <w:pPr>
        <w:jc w:val="both"/>
        <w:rPr>
          <w:b/>
          <w:bCs/>
          <w:sz w:val="20"/>
          <w:szCs w:val="20"/>
          <w:u w:val="single"/>
          <w:lang w:val="en-US"/>
        </w:rPr>
      </w:pPr>
      <w:r w:rsidRPr="00AD73F6">
        <w:rPr>
          <w:b/>
          <w:bCs/>
          <w:sz w:val="20"/>
          <w:szCs w:val="20"/>
          <w:u w:val="single"/>
          <w:lang w:val="en-US"/>
        </w:rPr>
        <w:lastRenderedPageBreak/>
        <w:t>Penalties</w:t>
      </w:r>
    </w:p>
    <w:p w14:paraId="7E930B3A" w14:textId="0619B5F7" w:rsidR="00655E34" w:rsidRPr="00AD73F6" w:rsidRDefault="00655E34" w:rsidP="00BF5973">
      <w:pPr>
        <w:jc w:val="both"/>
        <w:rPr>
          <w:sz w:val="20"/>
          <w:szCs w:val="20"/>
          <w:lang w:val="en-US"/>
        </w:rPr>
      </w:pPr>
      <w:r w:rsidRPr="00AD73F6">
        <w:rPr>
          <w:sz w:val="20"/>
          <w:szCs w:val="20"/>
          <w:lang w:val="en-US"/>
        </w:rPr>
        <w:t xml:space="preserve">For companies existing prior to 2 January 2025, the penalty for failure to file the initial register of members </w:t>
      </w:r>
      <w:r w:rsidR="00E621A7" w:rsidRPr="00AD73F6">
        <w:rPr>
          <w:sz w:val="20"/>
          <w:szCs w:val="20"/>
          <w:lang w:val="en-US"/>
        </w:rPr>
        <w:t xml:space="preserve">and beneficial ownership information by </w:t>
      </w:r>
      <w:r w:rsidR="00FE69F7">
        <w:rPr>
          <w:sz w:val="20"/>
          <w:szCs w:val="20"/>
          <w:lang w:val="en-US"/>
        </w:rPr>
        <w:t>the deadline</w:t>
      </w:r>
      <w:r w:rsidR="00E621A7" w:rsidRPr="00AD73F6">
        <w:rPr>
          <w:sz w:val="20"/>
          <w:szCs w:val="20"/>
          <w:lang w:val="en-US"/>
        </w:rPr>
        <w:t xml:space="preserve"> </w:t>
      </w:r>
      <w:r w:rsidRPr="00AD73F6">
        <w:rPr>
          <w:sz w:val="20"/>
          <w:szCs w:val="20"/>
          <w:lang w:val="en-US"/>
        </w:rPr>
        <w:t>is USD 600 for the first 3 months</w:t>
      </w:r>
      <w:r w:rsidR="00831CAE" w:rsidRPr="00AD73F6">
        <w:rPr>
          <w:sz w:val="20"/>
          <w:szCs w:val="20"/>
          <w:lang w:val="en-US"/>
        </w:rPr>
        <w:t>,</w:t>
      </w:r>
      <w:r w:rsidRPr="00AD73F6">
        <w:rPr>
          <w:sz w:val="20"/>
          <w:szCs w:val="20"/>
          <w:lang w:val="en-US"/>
        </w:rPr>
        <w:t xml:space="preserve"> </w:t>
      </w:r>
      <w:r w:rsidR="00831CAE" w:rsidRPr="00AD73F6">
        <w:rPr>
          <w:sz w:val="20"/>
          <w:szCs w:val="20"/>
          <w:lang w:val="en-US"/>
        </w:rPr>
        <w:t xml:space="preserve">an additional </w:t>
      </w:r>
      <w:r w:rsidRPr="00AD73F6">
        <w:rPr>
          <w:sz w:val="20"/>
          <w:szCs w:val="20"/>
          <w:lang w:val="en-US"/>
        </w:rPr>
        <w:t>USD 800 for the second 3 months</w:t>
      </w:r>
      <w:r w:rsidR="00E621A7" w:rsidRPr="00AD73F6">
        <w:rPr>
          <w:sz w:val="20"/>
          <w:szCs w:val="20"/>
          <w:lang w:val="en-US"/>
        </w:rPr>
        <w:t>,</w:t>
      </w:r>
      <w:r w:rsidRPr="00AD73F6">
        <w:rPr>
          <w:sz w:val="20"/>
          <w:szCs w:val="20"/>
          <w:lang w:val="en-US"/>
        </w:rPr>
        <w:t xml:space="preserve"> and struck off thereafter.</w:t>
      </w:r>
    </w:p>
    <w:p w14:paraId="4458BFE1" w14:textId="77777777" w:rsidR="002840C2" w:rsidRPr="00AD73F6" w:rsidRDefault="002840C2" w:rsidP="00BF5973">
      <w:pPr>
        <w:jc w:val="both"/>
        <w:rPr>
          <w:sz w:val="20"/>
          <w:szCs w:val="20"/>
          <w:lang w:val="en-US"/>
        </w:rPr>
      </w:pPr>
    </w:p>
    <w:p w14:paraId="7203631C" w14:textId="20958148" w:rsidR="002840C2" w:rsidRPr="00AD73F6" w:rsidRDefault="002840C2" w:rsidP="00BF5973">
      <w:pPr>
        <w:jc w:val="both"/>
        <w:rPr>
          <w:b/>
          <w:bCs/>
          <w:sz w:val="20"/>
          <w:szCs w:val="20"/>
          <w:u w:val="single"/>
          <w:lang w:val="en-US"/>
        </w:rPr>
      </w:pPr>
      <w:r w:rsidRPr="00AD73F6">
        <w:rPr>
          <w:b/>
          <w:bCs/>
          <w:sz w:val="20"/>
          <w:szCs w:val="20"/>
          <w:u w:val="single"/>
          <w:lang w:val="en-US"/>
        </w:rPr>
        <w:t>Filing Procedures and Options</w:t>
      </w:r>
    </w:p>
    <w:p w14:paraId="139A0584" w14:textId="77777777" w:rsidR="004E443F" w:rsidRDefault="004E443F" w:rsidP="00BF5973">
      <w:pPr>
        <w:jc w:val="both"/>
        <w:rPr>
          <w:b/>
          <w:bCs/>
          <w:sz w:val="20"/>
          <w:szCs w:val="20"/>
          <w:u w:val="single"/>
          <w:lang w:val="en-US"/>
        </w:rPr>
      </w:pPr>
    </w:p>
    <w:p w14:paraId="5D45697F" w14:textId="5FAA2151" w:rsidR="00B96FF6" w:rsidRDefault="00344356" w:rsidP="00B96FF6">
      <w:pPr>
        <w:ind w:left="720"/>
        <w:jc w:val="both"/>
        <w:rPr>
          <w:sz w:val="20"/>
          <w:szCs w:val="20"/>
          <w:lang w:val="en-US"/>
        </w:rPr>
      </w:pPr>
      <w:r>
        <w:rPr>
          <w:rFonts w:hint="eastAsia"/>
          <w:sz w:val="20"/>
          <w:szCs w:val="20"/>
          <w:lang w:val="en-US"/>
        </w:rPr>
        <w:t xml:space="preserve">Forms, </w:t>
      </w:r>
      <w:r w:rsidR="00B96FF6" w:rsidRPr="00B96FF6">
        <w:rPr>
          <w:rFonts w:hint="eastAsia"/>
          <w:sz w:val="20"/>
          <w:szCs w:val="20"/>
          <w:lang w:val="en-US"/>
        </w:rPr>
        <w:t>Templates and Examples can be downloaded from</w:t>
      </w:r>
      <w:r w:rsidR="00B96FF6">
        <w:rPr>
          <w:rFonts w:hint="eastAsia"/>
          <w:sz w:val="20"/>
          <w:szCs w:val="20"/>
          <w:lang w:val="en-US"/>
        </w:rPr>
        <w:t xml:space="preserve"> the </w:t>
      </w:r>
      <w:r>
        <w:rPr>
          <w:sz w:val="20"/>
          <w:szCs w:val="20"/>
          <w:lang w:val="en-US"/>
        </w:rPr>
        <w:t>link below</w:t>
      </w:r>
      <w:r w:rsidR="00B96FF6">
        <w:rPr>
          <w:rFonts w:hint="eastAsia"/>
          <w:sz w:val="20"/>
          <w:szCs w:val="20"/>
          <w:lang w:val="en-US"/>
        </w:rPr>
        <w:t>:</w:t>
      </w:r>
    </w:p>
    <w:bookmarkStart w:id="0" w:name="_Hlk195785977"/>
    <w:p w14:paraId="01BF1C06" w14:textId="2AED10D0" w:rsidR="00B96FF6" w:rsidRPr="00B96FF6" w:rsidRDefault="00B96FF6" w:rsidP="00B96FF6">
      <w:pPr>
        <w:ind w:firstLine="720"/>
        <w:jc w:val="both"/>
        <w:rPr>
          <w:sz w:val="20"/>
          <w:szCs w:val="20"/>
          <w:lang w:val="en-US"/>
        </w:rPr>
      </w:pPr>
      <w:r>
        <w:rPr>
          <w:sz w:val="20"/>
          <w:szCs w:val="20"/>
          <w:lang w:val="en-US"/>
        </w:rPr>
        <w:fldChar w:fldCharType="begin"/>
      </w:r>
      <w:r>
        <w:rPr>
          <w:sz w:val="20"/>
          <w:szCs w:val="20"/>
          <w:lang w:val="en-US"/>
        </w:rPr>
        <w:instrText>HYPERLINK "</w:instrText>
      </w:r>
      <w:r w:rsidRPr="00B96FF6">
        <w:rPr>
          <w:sz w:val="20"/>
          <w:szCs w:val="20"/>
          <w:lang w:val="en-US"/>
        </w:rPr>
        <w:instrText>https://omcbvireporting.omcgroup.com/ROMBO-Files/</w:instrText>
      </w:r>
      <w:r>
        <w:rPr>
          <w:sz w:val="20"/>
          <w:szCs w:val="20"/>
          <w:lang w:val="en-US"/>
        </w:rPr>
        <w:instrText>"</w:instrText>
      </w:r>
      <w:r>
        <w:rPr>
          <w:sz w:val="20"/>
          <w:szCs w:val="20"/>
          <w:lang w:val="en-US"/>
        </w:rPr>
      </w:r>
      <w:r>
        <w:rPr>
          <w:sz w:val="20"/>
          <w:szCs w:val="20"/>
          <w:lang w:val="en-US"/>
        </w:rPr>
        <w:fldChar w:fldCharType="separate"/>
      </w:r>
      <w:r w:rsidRPr="00144F5F">
        <w:rPr>
          <w:rStyle w:val="Hyperlink"/>
          <w:sz w:val="20"/>
          <w:szCs w:val="20"/>
          <w:lang w:val="en-US"/>
        </w:rPr>
        <w:t>https://omcbvireporting.omcgroup.com/ROMBO-Files/</w:t>
      </w:r>
      <w:r>
        <w:rPr>
          <w:sz w:val="20"/>
          <w:szCs w:val="20"/>
          <w:lang w:val="en-US"/>
        </w:rPr>
        <w:fldChar w:fldCharType="end"/>
      </w:r>
      <w:r>
        <w:rPr>
          <w:rFonts w:hint="eastAsia"/>
          <w:sz w:val="20"/>
          <w:szCs w:val="20"/>
          <w:lang w:val="en-US"/>
        </w:rPr>
        <w:t xml:space="preserve"> </w:t>
      </w:r>
    </w:p>
    <w:bookmarkEnd w:id="0"/>
    <w:p w14:paraId="7AF97BF2" w14:textId="77777777" w:rsidR="00B96FF6" w:rsidRDefault="00B96FF6" w:rsidP="00BF5973">
      <w:pPr>
        <w:jc w:val="both"/>
        <w:rPr>
          <w:b/>
          <w:bCs/>
          <w:sz w:val="20"/>
          <w:szCs w:val="20"/>
          <w:u w:val="single"/>
          <w:lang w:val="en-US"/>
        </w:rPr>
      </w:pPr>
    </w:p>
    <w:p w14:paraId="2675AC86" w14:textId="1F84A589" w:rsidR="002840C2" w:rsidRPr="00AD73F6" w:rsidRDefault="00655E34" w:rsidP="007446F2">
      <w:pPr>
        <w:ind w:left="720"/>
        <w:jc w:val="both"/>
        <w:rPr>
          <w:sz w:val="20"/>
          <w:szCs w:val="20"/>
          <w:lang w:val="en-US"/>
        </w:rPr>
      </w:pPr>
      <w:r w:rsidRPr="00AD73F6">
        <w:rPr>
          <w:b/>
          <w:bCs/>
          <w:sz w:val="20"/>
          <w:szCs w:val="20"/>
          <w:u w:val="single"/>
          <w:lang w:val="en-US"/>
        </w:rPr>
        <w:t>Option 1</w:t>
      </w:r>
      <w:r w:rsidR="00B90FAC">
        <w:rPr>
          <w:rFonts w:hint="eastAsia"/>
          <w:b/>
          <w:bCs/>
          <w:sz w:val="20"/>
          <w:szCs w:val="20"/>
          <w:u w:val="single"/>
          <w:lang w:val="en-US"/>
        </w:rPr>
        <w:t xml:space="preserve"> (Written forms)</w:t>
      </w:r>
      <w:r w:rsidRPr="00AD73F6">
        <w:rPr>
          <w:sz w:val="20"/>
          <w:szCs w:val="20"/>
          <w:lang w:val="en-US"/>
        </w:rPr>
        <w:t xml:space="preserve">: </w:t>
      </w:r>
      <w:r w:rsidR="007C3E7E">
        <w:rPr>
          <w:sz w:val="20"/>
          <w:szCs w:val="20"/>
          <w:lang w:val="en-US"/>
        </w:rPr>
        <w:t>Please note that we no longer accept written form submission after 31 Oct 2025.</w:t>
      </w:r>
    </w:p>
    <w:p w14:paraId="077FCA16" w14:textId="77777777" w:rsidR="00780454" w:rsidRPr="00AD73F6" w:rsidRDefault="00780454" w:rsidP="007446F2">
      <w:pPr>
        <w:ind w:left="720"/>
        <w:jc w:val="both"/>
        <w:rPr>
          <w:sz w:val="20"/>
          <w:szCs w:val="20"/>
          <w:lang w:val="en-US"/>
        </w:rPr>
      </w:pPr>
    </w:p>
    <w:p w14:paraId="3F65BF9B" w14:textId="3D928CE2" w:rsidR="00E23CFB" w:rsidRPr="00AD73F6" w:rsidRDefault="00780454" w:rsidP="007446F2">
      <w:pPr>
        <w:ind w:left="720"/>
        <w:jc w:val="both"/>
        <w:rPr>
          <w:sz w:val="20"/>
          <w:szCs w:val="20"/>
          <w:lang w:val="en-US"/>
        </w:rPr>
      </w:pPr>
      <w:r w:rsidRPr="00AD73F6">
        <w:rPr>
          <w:b/>
          <w:bCs/>
          <w:sz w:val="20"/>
          <w:szCs w:val="20"/>
          <w:u w:val="single"/>
          <w:lang w:val="en-US"/>
        </w:rPr>
        <w:t>Option 2</w:t>
      </w:r>
      <w:r w:rsidR="00B90FAC">
        <w:rPr>
          <w:rFonts w:hint="eastAsia"/>
          <w:b/>
          <w:bCs/>
          <w:sz w:val="20"/>
          <w:szCs w:val="20"/>
          <w:u w:val="single"/>
          <w:lang w:val="en-US"/>
        </w:rPr>
        <w:t xml:space="preserve"> (Data files)</w:t>
      </w:r>
      <w:r w:rsidRPr="00AD73F6">
        <w:rPr>
          <w:sz w:val="20"/>
          <w:szCs w:val="20"/>
          <w:lang w:val="en-US"/>
        </w:rPr>
        <w:t xml:space="preserve">: </w:t>
      </w:r>
      <w:r w:rsidR="00E23CFB" w:rsidRPr="00AD73F6">
        <w:rPr>
          <w:sz w:val="20"/>
          <w:szCs w:val="20"/>
          <w:lang w:val="en-US"/>
        </w:rPr>
        <w:t xml:space="preserve">Please </w:t>
      </w:r>
      <w:hyperlink r:id="rId6" w:history="1">
        <w:r w:rsidR="00D5385B" w:rsidRPr="00B96FF6">
          <w:rPr>
            <w:rStyle w:val="Hyperlink"/>
            <w:rFonts w:hint="eastAsia"/>
            <w:sz w:val="20"/>
            <w:szCs w:val="20"/>
            <w:lang w:val="en-US"/>
          </w:rPr>
          <w:t>download</w:t>
        </w:r>
      </w:hyperlink>
      <w:r w:rsidR="00D5385B">
        <w:rPr>
          <w:rFonts w:hint="eastAsia"/>
          <w:sz w:val="20"/>
          <w:szCs w:val="20"/>
          <w:lang w:val="en-US"/>
        </w:rPr>
        <w:t xml:space="preserve"> and </w:t>
      </w:r>
      <w:r w:rsidR="00E23CFB" w:rsidRPr="00AD73F6">
        <w:rPr>
          <w:sz w:val="20"/>
          <w:szCs w:val="20"/>
          <w:lang w:val="en-US"/>
        </w:rPr>
        <w:t xml:space="preserve">enter the required </w:t>
      </w:r>
      <w:r w:rsidR="00D5385B">
        <w:rPr>
          <w:rFonts w:hint="eastAsia"/>
          <w:sz w:val="20"/>
          <w:szCs w:val="20"/>
          <w:lang w:val="en-US"/>
        </w:rPr>
        <w:t>data</w:t>
      </w:r>
      <w:r w:rsidR="00E23CFB" w:rsidRPr="00AD73F6">
        <w:rPr>
          <w:sz w:val="20"/>
          <w:szCs w:val="20"/>
          <w:lang w:val="en-US"/>
        </w:rPr>
        <w:t xml:space="preserve"> in the</w:t>
      </w:r>
      <w:r w:rsidR="004E443F" w:rsidRPr="00AD73F6">
        <w:rPr>
          <w:sz w:val="20"/>
          <w:szCs w:val="20"/>
          <w:lang w:val="en-US"/>
        </w:rPr>
        <w:t xml:space="preserve"> </w:t>
      </w:r>
      <w:r w:rsidR="00E23CFB" w:rsidRPr="00AD73F6">
        <w:rPr>
          <w:sz w:val="20"/>
          <w:szCs w:val="20"/>
          <w:lang w:val="en-US"/>
        </w:rPr>
        <w:t>Excel spreadsheet</w:t>
      </w:r>
      <w:r w:rsidR="004E443F" w:rsidRPr="00AD73F6">
        <w:rPr>
          <w:sz w:val="20"/>
          <w:szCs w:val="20"/>
          <w:lang w:val="en-US"/>
        </w:rPr>
        <w:t>s</w:t>
      </w:r>
      <w:r w:rsidR="007446F2">
        <w:rPr>
          <w:sz w:val="20"/>
          <w:szCs w:val="20"/>
          <w:lang w:val="en-US"/>
        </w:rPr>
        <w:t xml:space="preserve"> (Data and Exemption)</w:t>
      </w:r>
      <w:r w:rsidR="00E23CFB" w:rsidRPr="00AD73F6">
        <w:rPr>
          <w:sz w:val="20"/>
          <w:szCs w:val="20"/>
          <w:lang w:val="en-US"/>
        </w:rPr>
        <w:t xml:space="preserve"> according to the instructions and return </w:t>
      </w:r>
      <w:r w:rsidR="005C2EDC" w:rsidRPr="00AD73F6">
        <w:rPr>
          <w:sz w:val="20"/>
          <w:szCs w:val="20"/>
          <w:lang w:val="en-US"/>
        </w:rPr>
        <w:t>the data file</w:t>
      </w:r>
      <w:r w:rsidR="00D5385B">
        <w:rPr>
          <w:rFonts w:hint="eastAsia"/>
          <w:sz w:val="20"/>
          <w:szCs w:val="20"/>
          <w:lang w:val="en-US"/>
        </w:rPr>
        <w:t>s</w:t>
      </w:r>
      <w:r w:rsidR="005C2EDC" w:rsidRPr="00AD73F6">
        <w:rPr>
          <w:sz w:val="20"/>
          <w:szCs w:val="20"/>
          <w:lang w:val="en-US"/>
        </w:rPr>
        <w:t xml:space="preserve"> </w:t>
      </w:r>
      <w:r w:rsidR="00E23CFB" w:rsidRPr="00AD73F6">
        <w:rPr>
          <w:sz w:val="20"/>
          <w:szCs w:val="20"/>
          <w:lang w:val="en-US"/>
        </w:rPr>
        <w:t xml:space="preserve">to </w:t>
      </w:r>
      <w:r w:rsidR="001C2371">
        <w:rPr>
          <w:rFonts w:hint="eastAsia"/>
          <w:sz w:val="20"/>
          <w:szCs w:val="20"/>
          <w:lang w:val="en-US"/>
        </w:rPr>
        <w:t>cs</w:t>
      </w:r>
      <w:r w:rsidR="004B328D">
        <w:rPr>
          <w:rFonts w:hint="eastAsia"/>
          <w:sz w:val="20"/>
          <w:szCs w:val="20"/>
          <w:lang w:val="en-US"/>
        </w:rPr>
        <w:t>@omchk.com.hk</w:t>
      </w:r>
      <w:r w:rsidR="004B328D" w:rsidRPr="00AD73F6">
        <w:rPr>
          <w:sz w:val="20"/>
          <w:szCs w:val="20"/>
          <w:lang w:val="en-US"/>
        </w:rPr>
        <w:t xml:space="preserve"> </w:t>
      </w:r>
      <w:r w:rsidR="00E23CFB" w:rsidRPr="00AD73F6">
        <w:rPr>
          <w:sz w:val="20"/>
          <w:szCs w:val="20"/>
          <w:lang w:val="en-US"/>
        </w:rPr>
        <w:t xml:space="preserve">by </w:t>
      </w:r>
      <w:r w:rsidR="00FE69F7">
        <w:rPr>
          <w:sz w:val="20"/>
          <w:szCs w:val="20"/>
          <w:lang w:val="en-US"/>
        </w:rPr>
        <w:t>15 Nov</w:t>
      </w:r>
      <w:r w:rsidR="00E23CFB" w:rsidRPr="00AD73F6">
        <w:rPr>
          <w:sz w:val="20"/>
          <w:szCs w:val="20"/>
          <w:lang w:val="en-US"/>
        </w:rPr>
        <w:t xml:space="preserve"> 2025.  This service is provided </w:t>
      </w:r>
      <w:r w:rsidR="00E23CFB" w:rsidRPr="007446F2">
        <w:rPr>
          <w:b/>
          <w:bCs/>
          <w:i/>
          <w:iCs/>
          <w:sz w:val="20"/>
          <w:szCs w:val="20"/>
          <w:u w:val="single"/>
          <w:lang w:val="en-US"/>
        </w:rPr>
        <w:t>free of charge</w:t>
      </w:r>
      <w:r w:rsidR="00E23CFB" w:rsidRPr="00AD73F6">
        <w:rPr>
          <w:sz w:val="20"/>
          <w:szCs w:val="20"/>
          <w:lang w:val="en-US"/>
        </w:rPr>
        <w:t>.</w:t>
      </w:r>
      <w:r w:rsidR="005C2EDC" w:rsidRPr="00AD73F6">
        <w:rPr>
          <w:sz w:val="20"/>
          <w:szCs w:val="20"/>
          <w:lang w:val="en-US"/>
        </w:rPr>
        <w:t xml:space="preserve">  Evidence of filing</w:t>
      </w:r>
      <w:r w:rsidR="00831CAE" w:rsidRPr="00AD73F6">
        <w:rPr>
          <w:sz w:val="20"/>
          <w:szCs w:val="20"/>
          <w:lang w:val="en-US"/>
        </w:rPr>
        <w:t>, if required,</w:t>
      </w:r>
      <w:r w:rsidR="005C2EDC" w:rsidRPr="00AD73F6">
        <w:rPr>
          <w:sz w:val="20"/>
          <w:szCs w:val="20"/>
          <w:lang w:val="en-US"/>
        </w:rPr>
        <w:t xml:space="preserve"> </w:t>
      </w:r>
      <w:r w:rsidR="00831CAE" w:rsidRPr="00AD73F6">
        <w:rPr>
          <w:sz w:val="20"/>
          <w:szCs w:val="20"/>
          <w:lang w:val="en-US"/>
        </w:rPr>
        <w:t>will</w:t>
      </w:r>
      <w:r w:rsidR="005C2EDC" w:rsidRPr="00AD73F6">
        <w:rPr>
          <w:sz w:val="20"/>
          <w:szCs w:val="20"/>
          <w:lang w:val="en-US"/>
        </w:rPr>
        <w:t xml:space="preserve"> be subject to </w:t>
      </w:r>
      <w:r w:rsidR="00831CAE" w:rsidRPr="00AD73F6">
        <w:rPr>
          <w:sz w:val="20"/>
          <w:szCs w:val="20"/>
          <w:lang w:val="en-US"/>
        </w:rPr>
        <w:t xml:space="preserve">processing </w:t>
      </w:r>
      <w:r w:rsidR="005C2EDC" w:rsidRPr="00AD73F6">
        <w:rPr>
          <w:sz w:val="20"/>
          <w:szCs w:val="20"/>
          <w:lang w:val="en-US"/>
        </w:rPr>
        <w:t>charge.</w:t>
      </w:r>
    </w:p>
    <w:p w14:paraId="28F826EB" w14:textId="77777777" w:rsidR="007446F2" w:rsidRDefault="007446F2">
      <w:pPr>
        <w:rPr>
          <w:sz w:val="20"/>
          <w:szCs w:val="20"/>
          <w:lang w:val="en-US"/>
        </w:rPr>
      </w:pPr>
    </w:p>
    <w:p w14:paraId="511D2486" w14:textId="77777777" w:rsidR="00646BB1" w:rsidRPr="00646BB1" w:rsidRDefault="00646BB1" w:rsidP="00646BB1">
      <w:pPr>
        <w:ind w:left="720"/>
        <w:rPr>
          <w:b/>
          <w:bCs/>
          <w:sz w:val="20"/>
          <w:szCs w:val="20"/>
          <w:u w:val="single"/>
          <w:lang w:val="en-US"/>
        </w:rPr>
      </w:pPr>
      <w:r w:rsidRPr="00646BB1">
        <w:rPr>
          <w:b/>
          <w:bCs/>
          <w:sz w:val="20"/>
          <w:szCs w:val="20"/>
          <w:u w:val="single"/>
          <w:lang w:val="en-US"/>
        </w:rPr>
        <w:t>Special Instructions:</w:t>
      </w:r>
    </w:p>
    <w:p w14:paraId="26BCAC21" w14:textId="77651B69" w:rsidR="00646BB1" w:rsidRDefault="00646BB1" w:rsidP="00646BB1">
      <w:pPr>
        <w:ind w:left="720"/>
        <w:rPr>
          <w:sz w:val="20"/>
          <w:szCs w:val="20"/>
          <w:lang w:val="en-US"/>
        </w:rPr>
      </w:pPr>
      <w:r>
        <w:rPr>
          <w:sz w:val="20"/>
          <w:szCs w:val="20"/>
          <w:lang w:val="en-US"/>
        </w:rPr>
        <w:tab/>
        <w:t>Foreign Regulated Trustees: Please complete Excel file “Exemption Foreign Regulated Trustees”</w:t>
      </w:r>
    </w:p>
    <w:p w14:paraId="2F3ED94B" w14:textId="3DD3729C" w:rsidR="00646BB1" w:rsidRDefault="00646BB1" w:rsidP="00646BB1">
      <w:pPr>
        <w:ind w:left="720"/>
        <w:rPr>
          <w:sz w:val="20"/>
          <w:szCs w:val="20"/>
          <w:lang w:val="en-US"/>
        </w:rPr>
      </w:pPr>
      <w:r>
        <w:rPr>
          <w:sz w:val="20"/>
          <w:szCs w:val="20"/>
          <w:lang w:val="en-US"/>
        </w:rPr>
        <w:tab/>
        <w:t xml:space="preserve">State-Owned Entities: </w:t>
      </w:r>
      <w:r>
        <w:rPr>
          <w:sz w:val="20"/>
          <w:szCs w:val="20"/>
          <w:lang w:val="en-US"/>
        </w:rPr>
        <w:t xml:space="preserve">Please complete Excel file </w:t>
      </w:r>
      <w:r>
        <w:rPr>
          <w:sz w:val="20"/>
          <w:szCs w:val="20"/>
          <w:lang w:val="en-US"/>
        </w:rPr>
        <w:t>“</w:t>
      </w:r>
      <w:r>
        <w:rPr>
          <w:sz w:val="20"/>
          <w:szCs w:val="20"/>
          <w:lang w:val="en-US"/>
        </w:rPr>
        <w:t xml:space="preserve">Exemption </w:t>
      </w:r>
      <w:r>
        <w:rPr>
          <w:sz w:val="20"/>
          <w:szCs w:val="20"/>
          <w:lang w:val="en-US"/>
        </w:rPr>
        <w:t>State Owned Entities”</w:t>
      </w:r>
    </w:p>
    <w:p w14:paraId="4A8A40FE" w14:textId="1922D576" w:rsidR="00646BB1" w:rsidRDefault="00646BB1">
      <w:pPr>
        <w:rPr>
          <w:sz w:val="20"/>
          <w:szCs w:val="20"/>
          <w:lang w:val="en-US"/>
        </w:rPr>
      </w:pPr>
    </w:p>
    <w:p w14:paraId="2722848F" w14:textId="474EFD95" w:rsidR="007446F2" w:rsidRPr="007446F2" w:rsidRDefault="007446F2" w:rsidP="007446F2">
      <w:pPr>
        <w:pStyle w:val="ListParagraph"/>
        <w:numPr>
          <w:ilvl w:val="0"/>
          <w:numId w:val="12"/>
        </w:numPr>
        <w:rPr>
          <w:sz w:val="20"/>
          <w:szCs w:val="20"/>
          <w:lang w:val="en-US"/>
        </w:rPr>
      </w:pPr>
      <w:r w:rsidRPr="007446F2">
        <w:rPr>
          <w:sz w:val="20"/>
          <w:szCs w:val="20"/>
          <w:lang w:val="en-US"/>
        </w:rPr>
        <w:t xml:space="preserve">Please refer to the instructions file and the examples for completing the </w:t>
      </w:r>
      <w:r>
        <w:rPr>
          <w:sz w:val="20"/>
          <w:szCs w:val="20"/>
          <w:lang w:val="en-US"/>
        </w:rPr>
        <w:t xml:space="preserve">written </w:t>
      </w:r>
      <w:r w:rsidRPr="007446F2">
        <w:rPr>
          <w:sz w:val="20"/>
          <w:szCs w:val="20"/>
          <w:lang w:val="en-US"/>
        </w:rPr>
        <w:t xml:space="preserve">forms and/or data files. </w:t>
      </w:r>
    </w:p>
    <w:p w14:paraId="35BEED33" w14:textId="6537C236" w:rsidR="00847476" w:rsidRPr="00AD73F6" w:rsidRDefault="00847476">
      <w:pPr>
        <w:rPr>
          <w:sz w:val="20"/>
          <w:szCs w:val="20"/>
          <w:lang w:val="en-US"/>
        </w:rPr>
      </w:pPr>
      <w:r w:rsidRPr="00AD73F6">
        <w:rPr>
          <w:sz w:val="20"/>
          <w:szCs w:val="20"/>
          <w:lang w:val="en-US"/>
        </w:rPr>
        <w:br w:type="page"/>
      </w:r>
    </w:p>
    <w:p w14:paraId="05B64141" w14:textId="7B2C5900" w:rsidR="00847476" w:rsidRPr="00AD73F6" w:rsidRDefault="00847476" w:rsidP="00847476">
      <w:pPr>
        <w:rPr>
          <w:b/>
          <w:bCs/>
          <w:sz w:val="20"/>
          <w:szCs w:val="20"/>
          <w:u w:val="single"/>
          <w:lang w:val="en-US"/>
        </w:rPr>
      </w:pPr>
      <w:r w:rsidRPr="00AD73F6">
        <w:rPr>
          <w:b/>
          <w:bCs/>
          <w:sz w:val="20"/>
          <w:szCs w:val="20"/>
          <w:u w:val="single"/>
          <w:lang w:val="en-US"/>
        </w:rPr>
        <w:lastRenderedPageBreak/>
        <w:t xml:space="preserve">RECOGNISED REGULATED EXCHANGES </w:t>
      </w:r>
    </w:p>
    <w:p w14:paraId="3BF21129" w14:textId="77777777" w:rsidR="00847476" w:rsidRPr="00AD73F6" w:rsidRDefault="00847476" w:rsidP="00847476">
      <w:pPr>
        <w:rPr>
          <w:sz w:val="20"/>
          <w:szCs w:val="20"/>
          <w:lang w:val="en-US"/>
        </w:rPr>
      </w:pPr>
      <w:r w:rsidRPr="00AD73F6">
        <w:rPr>
          <w:sz w:val="20"/>
          <w:szCs w:val="20"/>
          <w:lang w:val="en-US"/>
        </w:rPr>
        <w:t xml:space="preserve">All Stock Exchanges in the European Economic Area </w:t>
      </w:r>
    </w:p>
    <w:p w14:paraId="3AB88D73" w14:textId="6DEE6AE6" w:rsidR="00847476" w:rsidRPr="00AD73F6" w:rsidRDefault="00847476" w:rsidP="00847476">
      <w:pPr>
        <w:rPr>
          <w:sz w:val="20"/>
          <w:szCs w:val="20"/>
          <w:lang w:val="en-US"/>
        </w:rPr>
      </w:pPr>
      <w:r w:rsidRPr="00AD73F6">
        <w:rPr>
          <w:sz w:val="20"/>
          <w:szCs w:val="20"/>
          <w:lang w:val="en-US"/>
        </w:rPr>
        <w:t xml:space="preserve">All Stock Exchanges (not listed below) that are members of the </w:t>
      </w:r>
      <w:hyperlink r:id="rId7" w:anchor="member-list" w:history="1">
        <w:r w:rsidRPr="00AD73F6">
          <w:rPr>
            <w:rStyle w:val="Hyperlink"/>
            <w:sz w:val="20"/>
            <w:szCs w:val="20"/>
            <w:lang w:val="en-US"/>
          </w:rPr>
          <w:t>World Federation of Exchanges</w:t>
        </w:r>
      </w:hyperlink>
      <w:r w:rsidRPr="00AD73F6">
        <w:rPr>
          <w:sz w:val="20"/>
          <w:szCs w:val="20"/>
          <w:lang w:val="en-US"/>
        </w:rPr>
        <w:t xml:space="preserve"> </w:t>
      </w:r>
    </w:p>
    <w:p w14:paraId="5664F6D8" w14:textId="77777777" w:rsidR="008513F3" w:rsidRPr="00AD73F6" w:rsidRDefault="008513F3" w:rsidP="00847476">
      <w:pPr>
        <w:rPr>
          <w:sz w:val="20"/>
          <w:szCs w:val="20"/>
          <w:lang w:val="en-US"/>
        </w:rPr>
      </w:pPr>
    </w:p>
    <w:tbl>
      <w:tblPr>
        <w:tblStyle w:val="TableGrid"/>
        <w:tblW w:w="0" w:type="auto"/>
        <w:tblLook w:val="04A0" w:firstRow="1" w:lastRow="0" w:firstColumn="1" w:lastColumn="0" w:noHBand="0" w:noVBand="1"/>
      </w:tblPr>
      <w:tblGrid>
        <w:gridCol w:w="4871"/>
        <w:gridCol w:w="4871"/>
      </w:tblGrid>
      <w:tr w:rsidR="008513F3" w:rsidRPr="00AD73F6" w14:paraId="05D40FFC" w14:textId="77777777" w:rsidTr="008513F3">
        <w:tc>
          <w:tcPr>
            <w:tcW w:w="4871" w:type="dxa"/>
          </w:tcPr>
          <w:p w14:paraId="5FFC32ED" w14:textId="77777777" w:rsidR="008513F3" w:rsidRPr="00AD73F6" w:rsidRDefault="008513F3" w:rsidP="000459B0">
            <w:pPr>
              <w:rPr>
                <w:sz w:val="20"/>
                <w:szCs w:val="20"/>
                <w:lang w:val="en-US"/>
              </w:rPr>
            </w:pPr>
            <w:r w:rsidRPr="00AD73F6">
              <w:rPr>
                <w:sz w:val="20"/>
                <w:szCs w:val="20"/>
                <w:lang w:val="en-US"/>
              </w:rPr>
              <w:t xml:space="preserve">American Stock Exchange </w:t>
            </w:r>
          </w:p>
        </w:tc>
        <w:tc>
          <w:tcPr>
            <w:tcW w:w="4871" w:type="dxa"/>
          </w:tcPr>
          <w:p w14:paraId="693A8A2F" w14:textId="77777777" w:rsidR="008513F3" w:rsidRPr="00AD73F6" w:rsidRDefault="008513F3" w:rsidP="000459B0">
            <w:pPr>
              <w:rPr>
                <w:sz w:val="20"/>
                <w:szCs w:val="20"/>
                <w:lang w:val="en-US"/>
              </w:rPr>
            </w:pPr>
            <w:r w:rsidRPr="00AD73F6">
              <w:rPr>
                <w:sz w:val="20"/>
                <w:szCs w:val="20"/>
                <w:lang w:val="en-US"/>
              </w:rPr>
              <w:t xml:space="preserve">Australian Securities Exchange  </w:t>
            </w:r>
          </w:p>
        </w:tc>
      </w:tr>
      <w:tr w:rsidR="008513F3" w:rsidRPr="00AD73F6" w14:paraId="52A816B4" w14:textId="77777777" w:rsidTr="008513F3">
        <w:tc>
          <w:tcPr>
            <w:tcW w:w="4871" w:type="dxa"/>
          </w:tcPr>
          <w:p w14:paraId="3375E108" w14:textId="77777777" w:rsidR="008513F3" w:rsidRPr="00AD73F6" w:rsidRDefault="008513F3" w:rsidP="000459B0">
            <w:pPr>
              <w:rPr>
                <w:sz w:val="20"/>
                <w:szCs w:val="20"/>
                <w:lang w:val="en-US"/>
              </w:rPr>
            </w:pPr>
            <w:r w:rsidRPr="00AD73F6">
              <w:rPr>
                <w:sz w:val="20"/>
                <w:szCs w:val="20"/>
                <w:lang w:val="en-US"/>
              </w:rPr>
              <w:t xml:space="preserve">Barbados Stock Exchange Inc. </w:t>
            </w:r>
          </w:p>
        </w:tc>
        <w:tc>
          <w:tcPr>
            <w:tcW w:w="4871" w:type="dxa"/>
          </w:tcPr>
          <w:p w14:paraId="4C46C95F" w14:textId="77777777" w:rsidR="008513F3" w:rsidRPr="00AD73F6" w:rsidRDefault="008513F3" w:rsidP="000459B0">
            <w:pPr>
              <w:rPr>
                <w:sz w:val="20"/>
                <w:szCs w:val="20"/>
                <w:lang w:val="en-US"/>
              </w:rPr>
            </w:pPr>
            <w:r w:rsidRPr="00AD73F6">
              <w:rPr>
                <w:sz w:val="20"/>
                <w:szCs w:val="20"/>
                <w:lang w:val="en-US"/>
              </w:rPr>
              <w:t xml:space="preserve">BM&amp;F Bovespa </w:t>
            </w:r>
          </w:p>
        </w:tc>
      </w:tr>
      <w:tr w:rsidR="008513F3" w:rsidRPr="00AD73F6" w14:paraId="3F86A7C9" w14:textId="77777777" w:rsidTr="008513F3">
        <w:tc>
          <w:tcPr>
            <w:tcW w:w="4871" w:type="dxa"/>
          </w:tcPr>
          <w:p w14:paraId="157BE563" w14:textId="77777777" w:rsidR="008513F3" w:rsidRPr="00AD73F6" w:rsidRDefault="008513F3" w:rsidP="000459B0">
            <w:pPr>
              <w:rPr>
                <w:sz w:val="20"/>
                <w:szCs w:val="20"/>
                <w:lang w:val="en-US"/>
              </w:rPr>
            </w:pPr>
            <w:r w:rsidRPr="00AD73F6">
              <w:rPr>
                <w:sz w:val="20"/>
                <w:szCs w:val="20"/>
                <w:lang w:val="en-US"/>
              </w:rPr>
              <w:t xml:space="preserve">Bolsa de Comercio de Santiago </w:t>
            </w:r>
          </w:p>
        </w:tc>
        <w:tc>
          <w:tcPr>
            <w:tcW w:w="4871" w:type="dxa"/>
          </w:tcPr>
          <w:p w14:paraId="4D1BD351" w14:textId="77777777" w:rsidR="008513F3" w:rsidRPr="00AD73F6" w:rsidRDefault="008513F3" w:rsidP="000459B0">
            <w:pPr>
              <w:rPr>
                <w:sz w:val="20"/>
                <w:szCs w:val="20"/>
                <w:lang w:val="en-US"/>
              </w:rPr>
            </w:pPr>
            <w:r w:rsidRPr="00AD73F6">
              <w:rPr>
                <w:sz w:val="20"/>
                <w:szCs w:val="20"/>
                <w:lang w:val="en-US"/>
              </w:rPr>
              <w:t xml:space="preserve">Bolsa de Valores de Caracas </w:t>
            </w:r>
          </w:p>
        </w:tc>
      </w:tr>
      <w:tr w:rsidR="008513F3" w:rsidRPr="00AD73F6" w14:paraId="73324A75" w14:textId="77777777" w:rsidTr="008513F3">
        <w:tc>
          <w:tcPr>
            <w:tcW w:w="4871" w:type="dxa"/>
          </w:tcPr>
          <w:p w14:paraId="2BDFB04C" w14:textId="77777777" w:rsidR="008513F3" w:rsidRPr="00AD73F6" w:rsidRDefault="008513F3" w:rsidP="000459B0">
            <w:pPr>
              <w:rPr>
                <w:sz w:val="20"/>
                <w:szCs w:val="20"/>
                <w:lang w:val="en-US"/>
              </w:rPr>
            </w:pPr>
            <w:r w:rsidRPr="00AD73F6">
              <w:rPr>
                <w:sz w:val="20"/>
                <w:szCs w:val="20"/>
                <w:lang w:val="en-US"/>
              </w:rPr>
              <w:t xml:space="preserve">Bolsa de Valores de Colombia </w:t>
            </w:r>
          </w:p>
        </w:tc>
        <w:tc>
          <w:tcPr>
            <w:tcW w:w="4871" w:type="dxa"/>
          </w:tcPr>
          <w:p w14:paraId="3F7B2B20" w14:textId="77777777" w:rsidR="008513F3" w:rsidRPr="00AD73F6" w:rsidRDefault="008513F3" w:rsidP="000459B0">
            <w:pPr>
              <w:rPr>
                <w:sz w:val="20"/>
                <w:szCs w:val="20"/>
                <w:lang w:val="en-US"/>
              </w:rPr>
            </w:pPr>
            <w:r w:rsidRPr="00AD73F6">
              <w:rPr>
                <w:sz w:val="20"/>
                <w:szCs w:val="20"/>
                <w:lang w:val="en-US"/>
              </w:rPr>
              <w:t xml:space="preserve">Bolsa de Valores de Lima </w:t>
            </w:r>
          </w:p>
        </w:tc>
      </w:tr>
      <w:tr w:rsidR="008513F3" w:rsidRPr="00AD73F6" w14:paraId="659959F6" w14:textId="77777777" w:rsidTr="008513F3">
        <w:tc>
          <w:tcPr>
            <w:tcW w:w="4871" w:type="dxa"/>
          </w:tcPr>
          <w:p w14:paraId="6B5F508E" w14:textId="77777777" w:rsidR="008513F3" w:rsidRPr="00AD73F6" w:rsidRDefault="008513F3" w:rsidP="000459B0">
            <w:pPr>
              <w:rPr>
                <w:sz w:val="20"/>
                <w:szCs w:val="20"/>
                <w:lang w:val="en-US"/>
              </w:rPr>
            </w:pPr>
            <w:r w:rsidRPr="00AD73F6">
              <w:rPr>
                <w:sz w:val="20"/>
                <w:szCs w:val="20"/>
                <w:lang w:val="en-US"/>
              </w:rPr>
              <w:t xml:space="preserve">Bombay Stock Exchange  </w:t>
            </w:r>
          </w:p>
        </w:tc>
        <w:tc>
          <w:tcPr>
            <w:tcW w:w="4871" w:type="dxa"/>
          </w:tcPr>
          <w:p w14:paraId="42A240B6" w14:textId="77777777" w:rsidR="008513F3" w:rsidRPr="00AD73F6" w:rsidRDefault="008513F3" w:rsidP="000459B0">
            <w:pPr>
              <w:rPr>
                <w:sz w:val="20"/>
                <w:szCs w:val="20"/>
                <w:lang w:val="en-US"/>
              </w:rPr>
            </w:pPr>
            <w:r w:rsidRPr="00AD73F6">
              <w:rPr>
                <w:sz w:val="20"/>
                <w:szCs w:val="20"/>
                <w:lang w:val="en-US"/>
              </w:rPr>
              <w:t xml:space="preserve">Boston Stock Exchange </w:t>
            </w:r>
          </w:p>
        </w:tc>
      </w:tr>
      <w:tr w:rsidR="008513F3" w:rsidRPr="00AD73F6" w14:paraId="3039732A" w14:textId="77777777" w:rsidTr="008513F3">
        <w:tc>
          <w:tcPr>
            <w:tcW w:w="4871" w:type="dxa"/>
          </w:tcPr>
          <w:p w14:paraId="471D1606" w14:textId="77777777" w:rsidR="008513F3" w:rsidRPr="00AD73F6" w:rsidRDefault="008513F3" w:rsidP="000459B0">
            <w:pPr>
              <w:rPr>
                <w:sz w:val="20"/>
                <w:szCs w:val="20"/>
                <w:lang w:val="en-US"/>
              </w:rPr>
            </w:pPr>
            <w:r w:rsidRPr="00AD73F6">
              <w:rPr>
                <w:sz w:val="20"/>
                <w:szCs w:val="20"/>
                <w:lang w:val="en-US"/>
              </w:rPr>
              <w:t xml:space="preserve">Bourse de Montreal Inc. </w:t>
            </w:r>
          </w:p>
        </w:tc>
        <w:tc>
          <w:tcPr>
            <w:tcW w:w="4871" w:type="dxa"/>
          </w:tcPr>
          <w:p w14:paraId="41E2ADFC" w14:textId="77777777" w:rsidR="008513F3" w:rsidRPr="00AD73F6" w:rsidRDefault="008513F3" w:rsidP="000459B0">
            <w:pPr>
              <w:rPr>
                <w:sz w:val="20"/>
                <w:szCs w:val="20"/>
                <w:lang w:val="en-US"/>
              </w:rPr>
            </w:pPr>
            <w:r w:rsidRPr="00AD73F6">
              <w:rPr>
                <w:sz w:val="20"/>
                <w:szCs w:val="20"/>
                <w:lang w:val="en-US"/>
              </w:rPr>
              <w:t xml:space="preserve">Cayman Islands Stock Exchange </w:t>
            </w:r>
          </w:p>
        </w:tc>
      </w:tr>
      <w:tr w:rsidR="008513F3" w:rsidRPr="00AD73F6" w14:paraId="55916AD0" w14:textId="77777777" w:rsidTr="008513F3">
        <w:tc>
          <w:tcPr>
            <w:tcW w:w="4871" w:type="dxa"/>
          </w:tcPr>
          <w:p w14:paraId="2703EB33" w14:textId="77777777" w:rsidR="008513F3" w:rsidRPr="00AD73F6" w:rsidRDefault="008513F3" w:rsidP="000459B0">
            <w:pPr>
              <w:rPr>
                <w:sz w:val="20"/>
                <w:szCs w:val="20"/>
                <w:lang w:val="en-US"/>
              </w:rPr>
            </w:pPr>
            <w:r w:rsidRPr="00AD73F6">
              <w:rPr>
                <w:sz w:val="20"/>
                <w:szCs w:val="20"/>
                <w:lang w:val="en-US"/>
              </w:rPr>
              <w:t xml:space="preserve">Channel Islands Stock Exchange </w:t>
            </w:r>
          </w:p>
        </w:tc>
        <w:tc>
          <w:tcPr>
            <w:tcW w:w="4871" w:type="dxa"/>
          </w:tcPr>
          <w:p w14:paraId="5C62CE4E" w14:textId="77777777" w:rsidR="008513F3" w:rsidRPr="00AD73F6" w:rsidRDefault="008513F3" w:rsidP="000459B0">
            <w:pPr>
              <w:rPr>
                <w:sz w:val="20"/>
                <w:szCs w:val="20"/>
                <w:lang w:val="en-US"/>
              </w:rPr>
            </w:pPr>
            <w:r w:rsidRPr="00AD73F6">
              <w:rPr>
                <w:sz w:val="20"/>
                <w:szCs w:val="20"/>
                <w:lang w:val="en-US"/>
              </w:rPr>
              <w:t xml:space="preserve">Chicago Board of Trade </w:t>
            </w:r>
          </w:p>
        </w:tc>
      </w:tr>
      <w:tr w:rsidR="008513F3" w:rsidRPr="00AD73F6" w14:paraId="4A92C146" w14:textId="77777777" w:rsidTr="008513F3">
        <w:tc>
          <w:tcPr>
            <w:tcW w:w="4871" w:type="dxa"/>
          </w:tcPr>
          <w:p w14:paraId="46BB9DA8" w14:textId="77777777" w:rsidR="008513F3" w:rsidRPr="00AD73F6" w:rsidRDefault="008513F3" w:rsidP="000459B0">
            <w:pPr>
              <w:rPr>
                <w:sz w:val="20"/>
                <w:szCs w:val="20"/>
                <w:lang w:val="en-US"/>
              </w:rPr>
            </w:pPr>
            <w:r w:rsidRPr="00AD73F6">
              <w:rPr>
                <w:sz w:val="20"/>
                <w:szCs w:val="20"/>
                <w:lang w:val="en-US"/>
              </w:rPr>
              <w:t xml:space="preserve">Chicago Board Options Exchange </w:t>
            </w:r>
          </w:p>
        </w:tc>
        <w:tc>
          <w:tcPr>
            <w:tcW w:w="4871" w:type="dxa"/>
          </w:tcPr>
          <w:p w14:paraId="269C05AF" w14:textId="77777777" w:rsidR="008513F3" w:rsidRPr="00AD73F6" w:rsidRDefault="008513F3" w:rsidP="000459B0">
            <w:pPr>
              <w:rPr>
                <w:sz w:val="20"/>
                <w:szCs w:val="20"/>
                <w:lang w:val="en-US"/>
              </w:rPr>
            </w:pPr>
            <w:r w:rsidRPr="00AD73F6">
              <w:rPr>
                <w:sz w:val="20"/>
                <w:szCs w:val="20"/>
                <w:lang w:val="en-US"/>
              </w:rPr>
              <w:t xml:space="preserve">Chicago Stock Exchange </w:t>
            </w:r>
          </w:p>
        </w:tc>
      </w:tr>
      <w:tr w:rsidR="008513F3" w:rsidRPr="00AD73F6" w14:paraId="3E0D9293" w14:textId="77777777" w:rsidTr="008513F3">
        <w:tc>
          <w:tcPr>
            <w:tcW w:w="4871" w:type="dxa"/>
          </w:tcPr>
          <w:p w14:paraId="7B0D64D5" w14:textId="77777777" w:rsidR="008513F3" w:rsidRPr="00AD73F6" w:rsidRDefault="008513F3" w:rsidP="000459B0">
            <w:pPr>
              <w:rPr>
                <w:sz w:val="20"/>
                <w:szCs w:val="20"/>
                <w:lang w:val="en-US"/>
              </w:rPr>
            </w:pPr>
            <w:r w:rsidRPr="00AD73F6">
              <w:rPr>
                <w:sz w:val="20"/>
                <w:szCs w:val="20"/>
                <w:lang w:val="en-US"/>
              </w:rPr>
              <w:t xml:space="preserve">Coffee, Sugar and Cocoa Exchange, Inc. </w:t>
            </w:r>
          </w:p>
        </w:tc>
        <w:tc>
          <w:tcPr>
            <w:tcW w:w="4871" w:type="dxa"/>
          </w:tcPr>
          <w:p w14:paraId="4BE22761" w14:textId="77777777" w:rsidR="008513F3" w:rsidRPr="00AD73F6" w:rsidRDefault="008513F3" w:rsidP="000459B0">
            <w:pPr>
              <w:rPr>
                <w:sz w:val="20"/>
                <w:szCs w:val="20"/>
                <w:lang w:val="en-US"/>
              </w:rPr>
            </w:pPr>
            <w:r w:rsidRPr="00AD73F6">
              <w:rPr>
                <w:sz w:val="20"/>
                <w:szCs w:val="20"/>
                <w:lang w:val="en-US"/>
              </w:rPr>
              <w:t xml:space="preserve">CME Group </w:t>
            </w:r>
          </w:p>
        </w:tc>
      </w:tr>
      <w:tr w:rsidR="008513F3" w:rsidRPr="00AD73F6" w14:paraId="73CF6E27" w14:textId="77777777" w:rsidTr="008513F3">
        <w:tc>
          <w:tcPr>
            <w:tcW w:w="4871" w:type="dxa"/>
          </w:tcPr>
          <w:p w14:paraId="29BCDF2E" w14:textId="77777777" w:rsidR="008513F3" w:rsidRPr="00AD73F6" w:rsidRDefault="008513F3" w:rsidP="000459B0">
            <w:pPr>
              <w:rPr>
                <w:sz w:val="20"/>
                <w:szCs w:val="20"/>
                <w:lang w:val="en-US"/>
              </w:rPr>
            </w:pPr>
            <w:r w:rsidRPr="00AD73F6">
              <w:rPr>
                <w:sz w:val="20"/>
                <w:szCs w:val="20"/>
                <w:lang w:val="en-US"/>
              </w:rPr>
              <w:t xml:space="preserve">Eastern Caribbean Securities Exchange </w:t>
            </w:r>
          </w:p>
        </w:tc>
        <w:tc>
          <w:tcPr>
            <w:tcW w:w="4871" w:type="dxa"/>
          </w:tcPr>
          <w:p w14:paraId="4DCAB004" w14:textId="77777777" w:rsidR="008513F3" w:rsidRPr="00AD73F6" w:rsidRDefault="008513F3" w:rsidP="000459B0">
            <w:pPr>
              <w:rPr>
                <w:sz w:val="20"/>
                <w:szCs w:val="20"/>
                <w:lang w:val="en-US"/>
              </w:rPr>
            </w:pPr>
            <w:r w:rsidRPr="00AD73F6">
              <w:rPr>
                <w:sz w:val="20"/>
                <w:szCs w:val="20"/>
                <w:lang w:val="en-US"/>
              </w:rPr>
              <w:t xml:space="preserve">EUREX </w:t>
            </w:r>
          </w:p>
        </w:tc>
      </w:tr>
      <w:tr w:rsidR="008513F3" w:rsidRPr="00AD73F6" w14:paraId="57DA1169" w14:textId="77777777" w:rsidTr="008513F3">
        <w:tc>
          <w:tcPr>
            <w:tcW w:w="4871" w:type="dxa"/>
          </w:tcPr>
          <w:p w14:paraId="77C1D32A" w14:textId="77777777" w:rsidR="008513F3" w:rsidRPr="00AD73F6" w:rsidRDefault="008513F3" w:rsidP="000459B0">
            <w:pPr>
              <w:rPr>
                <w:sz w:val="20"/>
                <w:szCs w:val="20"/>
                <w:lang w:val="en-US"/>
              </w:rPr>
            </w:pPr>
            <w:r w:rsidRPr="00AD73F6">
              <w:rPr>
                <w:sz w:val="20"/>
                <w:szCs w:val="20"/>
                <w:lang w:val="en-US"/>
              </w:rPr>
              <w:t xml:space="preserve">Fukuoka Stock Exchange </w:t>
            </w:r>
          </w:p>
        </w:tc>
        <w:tc>
          <w:tcPr>
            <w:tcW w:w="4871" w:type="dxa"/>
          </w:tcPr>
          <w:p w14:paraId="61CEDBFB" w14:textId="77777777" w:rsidR="008513F3" w:rsidRPr="00AD73F6" w:rsidRDefault="008513F3" w:rsidP="000459B0">
            <w:pPr>
              <w:rPr>
                <w:sz w:val="20"/>
                <w:szCs w:val="20"/>
                <w:lang w:val="en-US"/>
              </w:rPr>
            </w:pPr>
            <w:proofErr w:type="spellStart"/>
            <w:r w:rsidRPr="00AD73F6">
              <w:rPr>
                <w:sz w:val="20"/>
                <w:szCs w:val="20"/>
                <w:lang w:val="en-US"/>
              </w:rPr>
              <w:t>Fusang</w:t>
            </w:r>
            <w:proofErr w:type="spellEnd"/>
            <w:r w:rsidRPr="00AD73F6">
              <w:rPr>
                <w:sz w:val="20"/>
                <w:szCs w:val="20"/>
                <w:lang w:val="en-US"/>
              </w:rPr>
              <w:t xml:space="preserve"> Exchange Ltd. </w:t>
            </w:r>
          </w:p>
        </w:tc>
      </w:tr>
      <w:tr w:rsidR="008513F3" w:rsidRPr="00AD73F6" w14:paraId="1665A88A" w14:textId="77777777" w:rsidTr="008513F3">
        <w:tc>
          <w:tcPr>
            <w:tcW w:w="4871" w:type="dxa"/>
          </w:tcPr>
          <w:p w14:paraId="63DAD231" w14:textId="77777777" w:rsidR="008513F3" w:rsidRPr="00AD73F6" w:rsidRDefault="008513F3" w:rsidP="000459B0">
            <w:pPr>
              <w:rPr>
                <w:sz w:val="20"/>
                <w:szCs w:val="20"/>
                <w:lang w:val="en-US"/>
              </w:rPr>
            </w:pPr>
            <w:proofErr w:type="spellStart"/>
            <w:r w:rsidRPr="00AD73F6">
              <w:rPr>
                <w:sz w:val="20"/>
                <w:szCs w:val="20"/>
                <w:lang w:val="en-US"/>
              </w:rPr>
              <w:t>GreTai</w:t>
            </w:r>
            <w:proofErr w:type="spellEnd"/>
            <w:r w:rsidRPr="00AD73F6">
              <w:rPr>
                <w:sz w:val="20"/>
                <w:szCs w:val="20"/>
                <w:lang w:val="en-US"/>
              </w:rPr>
              <w:t xml:space="preserve"> Securities Market of Taiwan </w:t>
            </w:r>
          </w:p>
        </w:tc>
        <w:tc>
          <w:tcPr>
            <w:tcW w:w="4871" w:type="dxa"/>
          </w:tcPr>
          <w:p w14:paraId="5CBE94F7" w14:textId="77777777" w:rsidR="008513F3" w:rsidRPr="00AD73F6" w:rsidRDefault="008513F3" w:rsidP="000459B0">
            <w:pPr>
              <w:rPr>
                <w:sz w:val="20"/>
                <w:szCs w:val="20"/>
                <w:lang w:val="en-US"/>
              </w:rPr>
            </w:pPr>
            <w:r w:rsidRPr="00AD73F6">
              <w:rPr>
                <w:sz w:val="20"/>
                <w:szCs w:val="20"/>
                <w:lang w:val="en-US"/>
              </w:rPr>
              <w:t xml:space="preserve">Hong Kong Stock Exchange </w:t>
            </w:r>
          </w:p>
        </w:tc>
      </w:tr>
      <w:tr w:rsidR="008513F3" w:rsidRPr="00AD73F6" w14:paraId="6272964F" w14:textId="77777777" w:rsidTr="008513F3">
        <w:tc>
          <w:tcPr>
            <w:tcW w:w="4871" w:type="dxa"/>
          </w:tcPr>
          <w:p w14:paraId="54FF83AF" w14:textId="77777777" w:rsidR="008513F3" w:rsidRPr="00AD73F6" w:rsidRDefault="008513F3" w:rsidP="000459B0">
            <w:pPr>
              <w:rPr>
                <w:sz w:val="20"/>
                <w:szCs w:val="20"/>
                <w:lang w:val="en-US"/>
              </w:rPr>
            </w:pPr>
            <w:r w:rsidRPr="00AD73F6">
              <w:rPr>
                <w:sz w:val="20"/>
                <w:szCs w:val="20"/>
                <w:lang w:val="en-US"/>
              </w:rPr>
              <w:t xml:space="preserve">ICE Futures Europe </w:t>
            </w:r>
          </w:p>
        </w:tc>
        <w:tc>
          <w:tcPr>
            <w:tcW w:w="4871" w:type="dxa"/>
          </w:tcPr>
          <w:p w14:paraId="696BAA56" w14:textId="77777777" w:rsidR="008513F3" w:rsidRPr="00AD73F6" w:rsidRDefault="008513F3" w:rsidP="000459B0">
            <w:pPr>
              <w:rPr>
                <w:sz w:val="20"/>
                <w:szCs w:val="20"/>
                <w:lang w:val="en-US"/>
              </w:rPr>
            </w:pPr>
            <w:r w:rsidRPr="00AD73F6">
              <w:rPr>
                <w:sz w:val="20"/>
                <w:szCs w:val="20"/>
                <w:lang w:val="en-US"/>
              </w:rPr>
              <w:t xml:space="preserve">ICE Futures U.S. Inc. </w:t>
            </w:r>
          </w:p>
        </w:tc>
      </w:tr>
      <w:tr w:rsidR="008513F3" w:rsidRPr="00AD73F6" w14:paraId="6E6A3DDE" w14:textId="77777777" w:rsidTr="008513F3">
        <w:tc>
          <w:tcPr>
            <w:tcW w:w="4871" w:type="dxa"/>
          </w:tcPr>
          <w:p w14:paraId="60FD3235" w14:textId="77777777" w:rsidR="008513F3" w:rsidRPr="00AD73F6" w:rsidRDefault="008513F3" w:rsidP="000459B0">
            <w:pPr>
              <w:rPr>
                <w:sz w:val="20"/>
                <w:szCs w:val="20"/>
                <w:lang w:val="en-US"/>
              </w:rPr>
            </w:pPr>
            <w:r w:rsidRPr="00AD73F6">
              <w:rPr>
                <w:sz w:val="20"/>
                <w:szCs w:val="20"/>
                <w:lang w:val="en-US"/>
              </w:rPr>
              <w:t xml:space="preserve">ICAP Securities &amp; Derivative Exchange Limited </w:t>
            </w:r>
          </w:p>
        </w:tc>
        <w:tc>
          <w:tcPr>
            <w:tcW w:w="4871" w:type="dxa"/>
          </w:tcPr>
          <w:p w14:paraId="6C7C0F77" w14:textId="77777777" w:rsidR="008513F3" w:rsidRPr="00AD73F6" w:rsidRDefault="008513F3" w:rsidP="000459B0">
            <w:pPr>
              <w:rPr>
                <w:sz w:val="20"/>
                <w:szCs w:val="20"/>
                <w:lang w:val="en-US"/>
              </w:rPr>
            </w:pPr>
            <w:r w:rsidRPr="00AD73F6">
              <w:rPr>
                <w:sz w:val="20"/>
                <w:szCs w:val="20"/>
                <w:lang w:val="en-US"/>
              </w:rPr>
              <w:t xml:space="preserve">Intercontinental Exchange </w:t>
            </w:r>
          </w:p>
        </w:tc>
      </w:tr>
      <w:tr w:rsidR="008513F3" w:rsidRPr="00AD73F6" w14:paraId="79DBE4E7" w14:textId="77777777" w:rsidTr="008513F3">
        <w:tc>
          <w:tcPr>
            <w:tcW w:w="4871" w:type="dxa"/>
          </w:tcPr>
          <w:p w14:paraId="7CD44E61" w14:textId="77777777" w:rsidR="008513F3" w:rsidRPr="00AD73F6" w:rsidRDefault="008513F3" w:rsidP="000459B0">
            <w:pPr>
              <w:rPr>
                <w:sz w:val="20"/>
                <w:szCs w:val="20"/>
                <w:lang w:val="en-US"/>
              </w:rPr>
            </w:pPr>
            <w:r w:rsidRPr="00AD73F6">
              <w:rPr>
                <w:sz w:val="20"/>
                <w:szCs w:val="20"/>
                <w:lang w:val="en-US"/>
              </w:rPr>
              <w:t xml:space="preserve">International Capital Market Association </w:t>
            </w:r>
          </w:p>
        </w:tc>
        <w:tc>
          <w:tcPr>
            <w:tcW w:w="4871" w:type="dxa"/>
          </w:tcPr>
          <w:p w14:paraId="77CFCC42" w14:textId="77777777" w:rsidR="008513F3" w:rsidRPr="00AD73F6" w:rsidRDefault="008513F3" w:rsidP="000459B0">
            <w:pPr>
              <w:rPr>
                <w:sz w:val="20"/>
                <w:szCs w:val="20"/>
                <w:lang w:val="en-US"/>
              </w:rPr>
            </w:pPr>
            <w:r w:rsidRPr="00AD73F6">
              <w:rPr>
                <w:sz w:val="20"/>
                <w:szCs w:val="20"/>
                <w:lang w:val="en-US"/>
              </w:rPr>
              <w:t xml:space="preserve">International Securities Exchange  </w:t>
            </w:r>
          </w:p>
        </w:tc>
      </w:tr>
      <w:tr w:rsidR="008513F3" w:rsidRPr="00AD73F6" w14:paraId="234E6C74" w14:textId="77777777" w:rsidTr="008513F3">
        <w:tc>
          <w:tcPr>
            <w:tcW w:w="4871" w:type="dxa"/>
          </w:tcPr>
          <w:p w14:paraId="03E96589" w14:textId="77777777" w:rsidR="008513F3" w:rsidRPr="00AD73F6" w:rsidRDefault="008513F3" w:rsidP="000459B0">
            <w:pPr>
              <w:rPr>
                <w:sz w:val="20"/>
                <w:szCs w:val="20"/>
                <w:lang w:val="en-US"/>
              </w:rPr>
            </w:pPr>
            <w:r w:rsidRPr="00AD73F6">
              <w:rPr>
                <w:sz w:val="20"/>
                <w:szCs w:val="20"/>
                <w:lang w:val="en-US"/>
              </w:rPr>
              <w:t xml:space="preserve">Jamaica Stock Exchange  </w:t>
            </w:r>
          </w:p>
        </w:tc>
        <w:tc>
          <w:tcPr>
            <w:tcW w:w="4871" w:type="dxa"/>
          </w:tcPr>
          <w:p w14:paraId="2BE8F6BD" w14:textId="77777777" w:rsidR="008513F3" w:rsidRPr="00AD73F6" w:rsidRDefault="008513F3" w:rsidP="000459B0">
            <w:pPr>
              <w:rPr>
                <w:sz w:val="20"/>
                <w:szCs w:val="20"/>
                <w:lang w:val="en-US"/>
              </w:rPr>
            </w:pPr>
            <w:r w:rsidRPr="00AD73F6">
              <w:rPr>
                <w:sz w:val="20"/>
                <w:szCs w:val="20"/>
                <w:lang w:val="en-US"/>
              </w:rPr>
              <w:t xml:space="preserve">Kansas City Board of Trade </w:t>
            </w:r>
          </w:p>
        </w:tc>
      </w:tr>
      <w:tr w:rsidR="008513F3" w:rsidRPr="00AD73F6" w14:paraId="5FE04ECA" w14:textId="77777777" w:rsidTr="008513F3">
        <w:tc>
          <w:tcPr>
            <w:tcW w:w="4871" w:type="dxa"/>
          </w:tcPr>
          <w:p w14:paraId="12A37609" w14:textId="77777777" w:rsidR="008513F3" w:rsidRPr="00AD73F6" w:rsidRDefault="008513F3" w:rsidP="000459B0">
            <w:pPr>
              <w:rPr>
                <w:sz w:val="20"/>
                <w:szCs w:val="20"/>
                <w:lang w:val="en-US"/>
              </w:rPr>
            </w:pPr>
            <w:r w:rsidRPr="00AD73F6">
              <w:rPr>
                <w:sz w:val="20"/>
                <w:szCs w:val="20"/>
                <w:lang w:val="en-US"/>
              </w:rPr>
              <w:t xml:space="preserve">LIFFE Administration and Management </w:t>
            </w:r>
          </w:p>
        </w:tc>
        <w:tc>
          <w:tcPr>
            <w:tcW w:w="4871" w:type="dxa"/>
          </w:tcPr>
          <w:p w14:paraId="23F3ED38" w14:textId="77777777" w:rsidR="008513F3" w:rsidRPr="00AD73F6" w:rsidRDefault="008513F3" w:rsidP="000459B0">
            <w:pPr>
              <w:rPr>
                <w:sz w:val="20"/>
                <w:szCs w:val="20"/>
                <w:lang w:val="en-US"/>
              </w:rPr>
            </w:pPr>
            <w:r w:rsidRPr="00AD73F6">
              <w:rPr>
                <w:sz w:val="20"/>
                <w:szCs w:val="20"/>
                <w:lang w:val="en-US"/>
              </w:rPr>
              <w:t xml:space="preserve">London Stock Exchange Plc </w:t>
            </w:r>
          </w:p>
        </w:tc>
      </w:tr>
      <w:tr w:rsidR="008513F3" w:rsidRPr="00AD73F6" w14:paraId="180590D0" w14:textId="77777777" w:rsidTr="008513F3">
        <w:tc>
          <w:tcPr>
            <w:tcW w:w="4871" w:type="dxa"/>
          </w:tcPr>
          <w:p w14:paraId="3B3B863B" w14:textId="77777777" w:rsidR="008513F3" w:rsidRPr="00AD73F6" w:rsidRDefault="008513F3" w:rsidP="000459B0">
            <w:pPr>
              <w:rPr>
                <w:sz w:val="20"/>
                <w:szCs w:val="20"/>
                <w:lang w:val="en-US"/>
              </w:rPr>
            </w:pPr>
            <w:r w:rsidRPr="00AD73F6">
              <w:rPr>
                <w:sz w:val="20"/>
                <w:szCs w:val="20"/>
                <w:lang w:val="en-US"/>
              </w:rPr>
              <w:t xml:space="preserve">MidAmerica Commodity Exchange </w:t>
            </w:r>
          </w:p>
        </w:tc>
        <w:tc>
          <w:tcPr>
            <w:tcW w:w="4871" w:type="dxa"/>
          </w:tcPr>
          <w:p w14:paraId="75996005" w14:textId="77777777" w:rsidR="008513F3" w:rsidRPr="00AD73F6" w:rsidRDefault="008513F3" w:rsidP="000459B0">
            <w:pPr>
              <w:rPr>
                <w:sz w:val="20"/>
                <w:szCs w:val="20"/>
                <w:lang w:val="en-US"/>
              </w:rPr>
            </w:pPr>
            <w:r w:rsidRPr="00AD73F6">
              <w:rPr>
                <w:sz w:val="20"/>
                <w:szCs w:val="20"/>
                <w:lang w:val="en-US"/>
              </w:rPr>
              <w:t xml:space="preserve">Minneapolis Grain Exchange </w:t>
            </w:r>
          </w:p>
        </w:tc>
      </w:tr>
      <w:tr w:rsidR="008513F3" w:rsidRPr="00AD73F6" w14:paraId="35E8AA8A" w14:textId="77777777" w:rsidTr="008513F3">
        <w:tc>
          <w:tcPr>
            <w:tcW w:w="4871" w:type="dxa"/>
          </w:tcPr>
          <w:p w14:paraId="28912BBE" w14:textId="77777777" w:rsidR="008513F3" w:rsidRPr="00AD73F6" w:rsidRDefault="008513F3" w:rsidP="000459B0">
            <w:pPr>
              <w:rPr>
                <w:sz w:val="20"/>
                <w:szCs w:val="20"/>
                <w:lang w:val="en-US"/>
              </w:rPr>
            </w:pPr>
            <w:r w:rsidRPr="00AD73F6">
              <w:rPr>
                <w:sz w:val="20"/>
                <w:szCs w:val="20"/>
                <w:lang w:val="en-US"/>
              </w:rPr>
              <w:t xml:space="preserve">Montreal Stock Exchange </w:t>
            </w:r>
          </w:p>
        </w:tc>
        <w:tc>
          <w:tcPr>
            <w:tcW w:w="4871" w:type="dxa"/>
          </w:tcPr>
          <w:p w14:paraId="6447E9FE" w14:textId="77777777" w:rsidR="008513F3" w:rsidRPr="00AD73F6" w:rsidRDefault="008513F3" w:rsidP="000459B0">
            <w:pPr>
              <w:rPr>
                <w:sz w:val="20"/>
                <w:szCs w:val="20"/>
                <w:lang w:val="en-US"/>
              </w:rPr>
            </w:pPr>
            <w:r w:rsidRPr="00AD73F6">
              <w:rPr>
                <w:sz w:val="20"/>
                <w:szCs w:val="20"/>
                <w:lang w:val="en-US"/>
              </w:rPr>
              <w:t xml:space="preserve">Moscow Exchange </w:t>
            </w:r>
          </w:p>
        </w:tc>
      </w:tr>
      <w:tr w:rsidR="008513F3" w:rsidRPr="00AD73F6" w14:paraId="1B885962" w14:textId="77777777" w:rsidTr="008513F3">
        <w:tc>
          <w:tcPr>
            <w:tcW w:w="4871" w:type="dxa"/>
          </w:tcPr>
          <w:p w14:paraId="39E32DE0" w14:textId="77777777" w:rsidR="008513F3" w:rsidRPr="00AD73F6" w:rsidRDefault="008513F3" w:rsidP="000459B0">
            <w:pPr>
              <w:rPr>
                <w:sz w:val="20"/>
                <w:szCs w:val="20"/>
                <w:lang w:val="en-US"/>
              </w:rPr>
            </w:pPr>
            <w:r w:rsidRPr="00AD73F6">
              <w:rPr>
                <w:sz w:val="20"/>
                <w:szCs w:val="20"/>
                <w:lang w:val="en-US"/>
              </w:rPr>
              <w:t xml:space="preserve">Nagoya Stock Exchange </w:t>
            </w:r>
          </w:p>
        </w:tc>
        <w:tc>
          <w:tcPr>
            <w:tcW w:w="4871" w:type="dxa"/>
          </w:tcPr>
          <w:p w14:paraId="5B63B7A0" w14:textId="77777777" w:rsidR="008513F3" w:rsidRPr="00AD73F6" w:rsidRDefault="008513F3" w:rsidP="000459B0">
            <w:pPr>
              <w:rPr>
                <w:sz w:val="20"/>
                <w:szCs w:val="20"/>
                <w:lang w:val="en-US"/>
              </w:rPr>
            </w:pPr>
            <w:r w:rsidRPr="00AD73F6">
              <w:rPr>
                <w:sz w:val="20"/>
                <w:szCs w:val="20"/>
                <w:lang w:val="en-US"/>
              </w:rPr>
              <w:t xml:space="preserve">NASDAQ </w:t>
            </w:r>
          </w:p>
        </w:tc>
      </w:tr>
      <w:tr w:rsidR="008513F3" w:rsidRPr="00AD73F6" w14:paraId="518C4A9C" w14:textId="77777777" w:rsidTr="008513F3">
        <w:tc>
          <w:tcPr>
            <w:tcW w:w="4871" w:type="dxa"/>
          </w:tcPr>
          <w:p w14:paraId="58D9B96D" w14:textId="77777777" w:rsidR="008513F3" w:rsidRPr="00AD73F6" w:rsidRDefault="008513F3" w:rsidP="000459B0">
            <w:pPr>
              <w:rPr>
                <w:sz w:val="20"/>
                <w:szCs w:val="20"/>
                <w:lang w:val="en-US"/>
              </w:rPr>
            </w:pPr>
            <w:r w:rsidRPr="00AD73F6">
              <w:rPr>
                <w:sz w:val="20"/>
                <w:szCs w:val="20"/>
                <w:lang w:val="en-US"/>
              </w:rPr>
              <w:t xml:space="preserve">NASDAQ Dubai </w:t>
            </w:r>
          </w:p>
        </w:tc>
        <w:tc>
          <w:tcPr>
            <w:tcW w:w="4871" w:type="dxa"/>
          </w:tcPr>
          <w:p w14:paraId="33AB669C" w14:textId="77777777" w:rsidR="008513F3" w:rsidRPr="00AD73F6" w:rsidRDefault="008513F3" w:rsidP="000459B0">
            <w:pPr>
              <w:rPr>
                <w:sz w:val="20"/>
                <w:szCs w:val="20"/>
                <w:lang w:val="en-US"/>
              </w:rPr>
            </w:pPr>
            <w:r w:rsidRPr="00AD73F6">
              <w:rPr>
                <w:sz w:val="20"/>
                <w:szCs w:val="20"/>
                <w:lang w:val="en-US"/>
              </w:rPr>
              <w:t xml:space="preserve">National Stock Exchange of Australia </w:t>
            </w:r>
          </w:p>
        </w:tc>
      </w:tr>
      <w:tr w:rsidR="008513F3" w:rsidRPr="00AD73F6" w14:paraId="4AE2C3D6" w14:textId="77777777" w:rsidTr="008513F3">
        <w:tc>
          <w:tcPr>
            <w:tcW w:w="4871" w:type="dxa"/>
          </w:tcPr>
          <w:p w14:paraId="0E1717A5" w14:textId="77777777" w:rsidR="008513F3" w:rsidRPr="00AD73F6" w:rsidRDefault="008513F3" w:rsidP="000459B0">
            <w:pPr>
              <w:rPr>
                <w:sz w:val="20"/>
                <w:szCs w:val="20"/>
                <w:lang w:val="en-US"/>
              </w:rPr>
            </w:pPr>
            <w:r w:rsidRPr="00AD73F6">
              <w:rPr>
                <w:sz w:val="20"/>
                <w:szCs w:val="20"/>
                <w:lang w:val="en-US"/>
              </w:rPr>
              <w:t xml:space="preserve">New York Cotton Exchange </w:t>
            </w:r>
          </w:p>
        </w:tc>
        <w:tc>
          <w:tcPr>
            <w:tcW w:w="4871" w:type="dxa"/>
          </w:tcPr>
          <w:p w14:paraId="26F2C7AB" w14:textId="77777777" w:rsidR="008513F3" w:rsidRPr="00AD73F6" w:rsidRDefault="008513F3" w:rsidP="000459B0">
            <w:pPr>
              <w:rPr>
                <w:sz w:val="20"/>
                <w:szCs w:val="20"/>
                <w:lang w:val="en-US"/>
              </w:rPr>
            </w:pPr>
            <w:r w:rsidRPr="00AD73F6">
              <w:rPr>
                <w:sz w:val="20"/>
                <w:szCs w:val="20"/>
                <w:lang w:val="en-US"/>
              </w:rPr>
              <w:t xml:space="preserve">New York Futures Exchange </w:t>
            </w:r>
          </w:p>
        </w:tc>
      </w:tr>
      <w:tr w:rsidR="008513F3" w:rsidRPr="00AD73F6" w14:paraId="23C49184" w14:textId="77777777" w:rsidTr="008513F3">
        <w:tc>
          <w:tcPr>
            <w:tcW w:w="4871" w:type="dxa"/>
          </w:tcPr>
          <w:p w14:paraId="787FC4FA" w14:textId="77777777" w:rsidR="008513F3" w:rsidRPr="00AD73F6" w:rsidRDefault="008513F3" w:rsidP="000459B0">
            <w:pPr>
              <w:rPr>
                <w:sz w:val="20"/>
                <w:szCs w:val="20"/>
                <w:lang w:val="en-US"/>
              </w:rPr>
            </w:pPr>
            <w:r w:rsidRPr="00AD73F6">
              <w:rPr>
                <w:sz w:val="20"/>
                <w:szCs w:val="20"/>
                <w:lang w:val="en-US"/>
              </w:rPr>
              <w:t xml:space="preserve">New York Mercantile Exchange Inc. </w:t>
            </w:r>
          </w:p>
        </w:tc>
        <w:tc>
          <w:tcPr>
            <w:tcW w:w="4871" w:type="dxa"/>
          </w:tcPr>
          <w:p w14:paraId="58B49BA9" w14:textId="77777777" w:rsidR="008513F3" w:rsidRPr="00AD73F6" w:rsidRDefault="008513F3" w:rsidP="000459B0">
            <w:pPr>
              <w:rPr>
                <w:sz w:val="20"/>
                <w:szCs w:val="20"/>
                <w:lang w:val="en-US"/>
              </w:rPr>
            </w:pPr>
            <w:r w:rsidRPr="00AD73F6">
              <w:rPr>
                <w:sz w:val="20"/>
                <w:szCs w:val="20"/>
                <w:lang w:val="en-US"/>
              </w:rPr>
              <w:t xml:space="preserve">New York Stock Exchange </w:t>
            </w:r>
          </w:p>
        </w:tc>
      </w:tr>
      <w:tr w:rsidR="008513F3" w:rsidRPr="00AD73F6" w14:paraId="682F825B" w14:textId="77777777" w:rsidTr="008513F3">
        <w:tc>
          <w:tcPr>
            <w:tcW w:w="4871" w:type="dxa"/>
          </w:tcPr>
          <w:p w14:paraId="470F36BD" w14:textId="77777777" w:rsidR="008513F3" w:rsidRPr="00AD73F6" w:rsidRDefault="008513F3" w:rsidP="000459B0">
            <w:pPr>
              <w:rPr>
                <w:sz w:val="20"/>
                <w:szCs w:val="20"/>
                <w:lang w:val="en-US"/>
              </w:rPr>
            </w:pPr>
            <w:r w:rsidRPr="00AD73F6">
              <w:rPr>
                <w:sz w:val="20"/>
                <w:szCs w:val="20"/>
                <w:lang w:val="en-US"/>
              </w:rPr>
              <w:t xml:space="preserve">New Zealand Stock Exchange </w:t>
            </w:r>
          </w:p>
        </w:tc>
        <w:tc>
          <w:tcPr>
            <w:tcW w:w="4871" w:type="dxa"/>
          </w:tcPr>
          <w:p w14:paraId="2DB3DCEF" w14:textId="77777777" w:rsidR="008513F3" w:rsidRPr="00AD73F6" w:rsidRDefault="008513F3" w:rsidP="000459B0">
            <w:pPr>
              <w:rPr>
                <w:sz w:val="20"/>
                <w:szCs w:val="20"/>
                <w:lang w:val="en-US"/>
              </w:rPr>
            </w:pPr>
            <w:r w:rsidRPr="00AD73F6">
              <w:rPr>
                <w:sz w:val="20"/>
                <w:szCs w:val="20"/>
                <w:lang w:val="en-US"/>
              </w:rPr>
              <w:t xml:space="preserve">NYSE Arca </w:t>
            </w:r>
          </w:p>
        </w:tc>
      </w:tr>
      <w:tr w:rsidR="008513F3" w:rsidRPr="00AD73F6" w14:paraId="352515F9" w14:textId="77777777" w:rsidTr="008513F3">
        <w:tc>
          <w:tcPr>
            <w:tcW w:w="4871" w:type="dxa"/>
          </w:tcPr>
          <w:p w14:paraId="01A8CC7B" w14:textId="77777777" w:rsidR="008513F3" w:rsidRPr="00AD73F6" w:rsidRDefault="008513F3" w:rsidP="000459B0">
            <w:pPr>
              <w:rPr>
                <w:sz w:val="20"/>
                <w:szCs w:val="20"/>
                <w:lang w:val="en-US"/>
              </w:rPr>
            </w:pPr>
            <w:r w:rsidRPr="00AD73F6">
              <w:rPr>
                <w:sz w:val="20"/>
                <w:szCs w:val="20"/>
                <w:lang w:val="en-US"/>
              </w:rPr>
              <w:t xml:space="preserve">Osaka Securities Exchange </w:t>
            </w:r>
          </w:p>
        </w:tc>
        <w:tc>
          <w:tcPr>
            <w:tcW w:w="4871" w:type="dxa"/>
          </w:tcPr>
          <w:p w14:paraId="43B941FB" w14:textId="77777777" w:rsidR="008513F3" w:rsidRPr="00AD73F6" w:rsidRDefault="008513F3" w:rsidP="000459B0">
            <w:pPr>
              <w:rPr>
                <w:sz w:val="20"/>
                <w:szCs w:val="20"/>
                <w:lang w:val="en-US"/>
              </w:rPr>
            </w:pPr>
            <w:r w:rsidRPr="00AD73F6">
              <w:rPr>
                <w:sz w:val="20"/>
                <w:szCs w:val="20"/>
                <w:lang w:val="en-US"/>
              </w:rPr>
              <w:t xml:space="preserve">Pacific Exchange </w:t>
            </w:r>
          </w:p>
        </w:tc>
      </w:tr>
      <w:tr w:rsidR="008513F3" w:rsidRPr="00AD73F6" w14:paraId="5E52BE42" w14:textId="77777777" w:rsidTr="008513F3">
        <w:tc>
          <w:tcPr>
            <w:tcW w:w="4871" w:type="dxa"/>
          </w:tcPr>
          <w:p w14:paraId="6AC8C3F3" w14:textId="77777777" w:rsidR="008513F3" w:rsidRPr="00AD73F6" w:rsidRDefault="008513F3" w:rsidP="000459B0">
            <w:pPr>
              <w:rPr>
                <w:sz w:val="20"/>
                <w:szCs w:val="20"/>
                <w:lang w:val="en-US"/>
              </w:rPr>
            </w:pPr>
            <w:r w:rsidRPr="00AD73F6">
              <w:rPr>
                <w:sz w:val="20"/>
                <w:szCs w:val="20"/>
                <w:lang w:val="en-US"/>
              </w:rPr>
              <w:t xml:space="preserve">Philadelphia Stock Exchange </w:t>
            </w:r>
          </w:p>
        </w:tc>
        <w:tc>
          <w:tcPr>
            <w:tcW w:w="4871" w:type="dxa"/>
          </w:tcPr>
          <w:p w14:paraId="331240F5" w14:textId="77777777" w:rsidR="008513F3" w:rsidRPr="00AD73F6" w:rsidRDefault="008513F3" w:rsidP="000459B0">
            <w:pPr>
              <w:rPr>
                <w:sz w:val="20"/>
                <w:szCs w:val="20"/>
                <w:lang w:val="en-US"/>
              </w:rPr>
            </w:pPr>
            <w:r w:rsidRPr="00AD73F6">
              <w:rPr>
                <w:sz w:val="20"/>
                <w:szCs w:val="20"/>
                <w:lang w:val="en-US"/>
              </w:rPr>
              <w:t xml:space="preserve">Rio de Janeiro Stock Exchange  </w:t>
            </w:r>
          </w:p>
        </w:tc>
      </w:tr>
      <w:tr w:rsidR="008513F3" w:rsidRPr="00AD73F6" w14:paraId="710E5D88" w14:textId="77777777" w:rsidTr="008513F3">
        <w:tc>
          <w:tcPr>
            <w:tcW w:w="4871" w:type="dxa"/>
          </w:tcPr>
          <w:p w14:paraId="2759E037" w14:textId="77777777" w:rsidR="008513F3" w:rsidRPr="00AD73F6" w:rsidRDefault="008513F3" w:rsidP="000459B0">
            <w:pPr>
              <w:rPr>
                <w:sz w:val="20"/>
                <w:szCs w:val="20"/>
                <w:lang w:val="en-US"/>
              </w:rPr>
            </w:pPr>
            <w:r w:rsidRPr="00AD73F6">
              <w:rPr>
                <w:sz w:val="20"/>
                <w:szCs w:val="20"/>
                <w:lang w:val="en-US"/>
              </w:rPr>
              <w:t xml:space="preserve">Sao Paulo Stock Exchange (Bovespa) </w:t>
            </w:r>
          </w:p>
        </w:tc>
        <w:tc>
          <w:tcPr>
            <w:tcW w:w="4871" w:type="dxa"/>
          </w:tcPr>
          <w:p w14:paraId="3DFB6995" w14:textId="77777777" w:rsidR="008513F3" w:rsidRPr="00AD73F6" w:rsidRDefault="008513F3" w:rsidP="000459B0">
            <w:pPr>
              <w:rPr>
                <w:sz w:val="20"/>
                <w:szCs w:val="20"/>
                <w:lang w:val="en-US"/>
              </w:rPr>
            </w:pPr>
            <w:r w:rsidRPr="00AD73F6">
              <w:rPr>
                <w:sz w:val="20"/>
                <w:szCs w:val="20"/>
                <w:lang w:val="en-US"/>
              </w:rPr>
              <w:t xml:space="preserve">Shanghai Stock Exchange </w:t>
            </w:r>
          </w:p>
        </w:tc>
      </w:tr>
      <w:tr w:rsidR="008513F3" w:rsidRPr="00AD73F6" w14:paraId="0FB9A6E8" w14:textId="77777777" w:rsidTr="008513F3">
        <w:tc>
          <w:tcPr>
            <w:tcW w:w="4871" w:type="dxa"/>
          </w:tcPr>
          <w:p w14:paraId="4F271388" w14:textId="77777777" w:rsidR="008513F3" w:rsidRPr="00AD73F6" w:rsidRDefault="008513F3" w:rsidP="000459B0">
            <w:pPr>
              <w:rPr>
                <w:sz w:val="20"/>
                <w:szCs w:val="20"/>
                <w:lang w:val="en-US"/>
              </w:rPr>
            </w:pPr>
            <w:r w:rsidRPr="00AD73F6">
              <w:rPr>
                <w:sz w:val="20"/>
                <w:szCs w:val="20"/>
                <w:lang w:val="en-US"/>
              </w:rPr>
              <w:t xml:space="preserve">Shenzhen Stock Exchange </w:t>
            </w:r>
          </w:p>
        </w:tc>
        <w:tc>
          <w:tcPr>
            <w:tcW w:w="4871" w:type="dxa"/>
          </w:tcPr>
          <w:p w14:paraId="29251C41" w14:textId="77777777" w:rsidR="008513F3" w:rsidRPr="00AD73F6" w:rsidRDefault="008513F3" w:rsidP="000459B0">
            <w:pPr>
              <w:rPr>
                <w:sz w:val="20"/>
                <w:szCs w:val="20"/>
                <w:lang w:val="en-US"/>
              </w:rPr>
            </w:pPr>
            <w:r w:rsidRPr="00AD73F6">
              <w:rPr>
                <w:sz w:val="20"/>
                <w:szCs w:val="20"/>
                <w:lang w:val="en-US"/>
              </w:rPr>
              <w:t xml:space="preserve">Singapore Stock Exchange </w:t>
            </w:r>
          </w:p>
        </w:tc>
      </w:tr>
      <w:tr w:rsidR="008513F3" w:rsidRPr="00AD73F6" w14:paraId="65894F9C" w14:textId="77777777" w:rsidTr="008513F3">
        <w:tc>
          <w:tcPr>
            <w:tcW w:w="4871" w:type="dxa"/>
          </w:tcPr>
          <w:p w14:paraId="6044DC15" w14:textId="77777777" w:rsidR="008513F3" w:rsidRPr="00AD73F6" w:rsidRDefault="008513F3" w:rsidP="000459B0">
            <w:pPr>
              <w:rPr>
                <w:sz w:val="20"/>
                <w:szCs w:val="20"/>
                <w:lang w:val="en-US"/>
              </w:rPr>
            </w:pPr>
            <w:r w:rsidRPr="00AD73F6">
              <w:rPr>
                <w:sz w:val="20"/>
                <w:szCs w:val="20"/>
                <w:lang w:val="en-US"/>
              </w:rPr>
              <w:t xml:space="preserve">South African Futures Exchange </w:t>
            </w:r>
          </w:p>
        </w:tc>
        <w:tc>
          <w:tcPr>
            <w:tcW w:w="4871" w:type="dxa"/>
          </w:tcPr>
          <w:p w14:paraId="4CBC0E9C" w14:textId="77777777" w:rsidR="008513F3" w:rsidRPr="00AD73F6" w:rsidRDefault="008513F3" w:rsidP="000459B0">
            <w:pPr>
              <w:rPr>
                <w:sz w:val="20"/>
                <w:szCs w:val="20"/>
                <w:lang w:val="en-US"/>
              </w:rPr>
            </w:pPr>
            <w:r w:rsidRPr="00AD73F6">
              <w:rPr>
                <w:sz w:val="20"/>
                <w:szCs w:val="20"/>
                <w:lang w:val="en-US"/>
              </w:rPr>
              <w:t xml:space="preserve">The London Metal Exchange Limited </w:t>
            </w:r>
          </w:p>
        </w:tc>
      </w:tr>
      <w:tr w:rsidR="008513F3" w:rsidRPr="00AD73F6" w14:paraId="712763B9" w14:textId="77777777" w:rsidTr="008513F3">
        <w:tc>
          <w:tcPr>
            <w:tcW w:w="4871" w:type="dxa"/>
          </w:tcPr>
          <w:p w14:paraId="5FC004D0" w14:textId="77777777" w:rsidR="008513F3" w:rsidRPr="00AD73F6" w:rsidRDefault="008513F3" w:rsidP="000459B0">
            <w:pPr>
              <w:rPr>
                <w:sz w:val="20"/>
                <w:szCs w:val="20"/>
                <w:lang w:val="en-US"/>
              </w:rPr>
            </w:pPr>
            <w:r w:rsidRPr="00AD73F6">
              <w:rPr>
                <w:sz w:val="20"/>
                <w:szCs w:val="20"/>
                <w:lang w:val="en-US"/>
              </w:rPr>
              <w:t xml:space="preserve">Tokyo International Financial Futures Exchange </w:t>
            </w:r>
          </w:p>
        </w:tc>
        <w:tc>
          <w:tcPr>
            <w:tcW w:w="4871" w:type="dxa"/>
          </w:tcPr>
          <w:p w14:paraId="6485840A" w14:textId="77777777" w:rsidR="008513F3" w:rsidRPr="00AD73F6" w:rsidRDefault="008513F3" w:rsidP="000459B0">
            <w:pPr>
              <w:rPr>
                <w:sz w:val="20"/>
                <w:szCs w:val="20"/>
                <w:lang w:val="en-US"/>
              </w:rPr>
            </w:pPr>
            <w:r w:rsidRPr="00AD73F6">
              <w:rPr>
                <w:sz w:val="20"/>
                <w:szCs w:val="20"/>
                <w:lang w:val="en-US"/>
              </w:rPr>
              <w:t xml:space="preserve">Tokyo Stock Exchange </w:t>
            </w:r>
          </w:p>
        </w:tc>
      </w:tr>
      <w:tr w:rsidR="008513F3" w:rsidRPr="00AD73F6" w14:paraId="1ABF330F" w14:textId="77777777" w:rsidTr="008513F3">
        <w:tc>
          <w:tcPr>
            <w:tcW w:w="4871" w:type="dxa"/>
          </w:tcPr>
          <w:p w14:paraId="0F29A639" w14:textId="77777777" w:rsidR="008513F3" w:rsidRPr="00AD73F6" w:rsidRDefault="008513F3" w:rsidP="000459B0">
            <w:pPr>
              <w:rPr>
                <w:sz w:val="20"/>
                <w:szCs w:val="20"/>
                <w:lang w:val="en-US"/>
              </w:rPr>
            </w:pPr>
            <w:r w:rsidRPr="00AD73F6">
              <w:rPr>
                <w:sz w:val="20"/>
                <w:szCs w:val="20"/>
                <w:lang w:val="en-US"/>
              </w:rPr>
              <w:t xml:space="preserve">Toronto Stock Exchange </w:t>
            </w:r>
          </w:p>
        </w:tc>
        <w:tc>
          <w:tcPr>
            <w:tcW w:w="4871" w:type="dxa"/>
          </w:tcPr>
          <w:p w14:paraId="4BDA8F7B" w14:textId="77777777" w:rsidR="008513F3" w:rsidRPr="00AD73F6" w:rsidRDefault="008513F3" w:rsidP="000459B0">
            <w:pPr>
              <w:rPr>
                <w:sz w:val="20"/>
                <w:szCs w:val="20"/>
                <w:lang w:val="en-US"/>
              </w:rPr>
            </w:pPr>
            <w:r w:rsidRPr="00AD73F6">
              <w:rPr>
                <w:sz w:val="20"/>
                <w:szCs w:val="20"/>
                <w:lang w:val="en-US"/>
              </w:rPr>
              <w:t xml:space="preserve">Trinidad and Tobago Stock Exchange  </w:t>
            </w:r>
          </w:p>
        </w:tc>
      </w:tr>
    </w:tbl>
    <w:p w14:paraId="760E2FA0" w14:textId="7BEA20E0" w:rsidR="00E23CFB" w:rsidRPr="00AD73F6" w:rsidRDefault="00E23CFB" w:rsidP="008513F3">
      <w:pPr>
        <w:rPr>
          <w:sz w:val="20"/>
          <w:szCs w:val="20"/>
          <w:lang w:val="en-US"/>
        </w:rPr>
      </w:pPr>
    </w:p>
    <w:sectPr w:rsidR="00E23CFB" w:rsidRPr="00AD73F6" w:rsidSect="00135DF0">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7E97"/>
    <w:multiLevelType w:val="hybridMultilevel"/>
    <w:tmpl w:val="0B94920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7426697"/>
    <w:multiLevelType w:val="hybridMultilevel"/>
    <w:tmpl w:val="11309D7A"/>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25653B34"/>
    <w:multiLevelType w:val="hybridMultilevel"/>
    <w:tmpl w:val="0B94920C"/>
    <w:lvl w:ilvl="0" w:tplc="00763026">
      <w:start w:val="1"/>
      <w:numFmt w:val="lowerRoman"/>
      <w:lvlText w:val="(%1)"/>
      <w:lvlJc w:val="left"/>
      <w:pPr>
        <w:ind w:left="1080" w:hanging="360"/>
      </w:pPr>
      <w:rPr>
        <w:rFonts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3" w15:restartNumberingAfterBreak="0">
    <w:nsid w:val="26A663BE"/>
    <w:multiLevelType w:val="hybridMultilevel"/>
    <w:tmpl w:val="88468452"/>
    <w:lvl w:ilvl="0" w:tplc="711C99CA">
      <w:numFmt w:val="bullet"/>
      <w:lvlText w:val="-"/>
      <w:lvlJc w:val="left"/>
      <w:pPr>
        <w:ind w:left="720" w:hanging="360"/>
      </w:pPr>
      <w:rPr>
        <w:rFonts w:ascii="Aptos" w:eastAsiaTheme="minorEastAsia" w:hAnsi="Aptos" w:cstheme="minorBid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3A0500D0"/>
    <w:multiLevelType w:val="hybridMultilevel"/>
    <w:tmpl w:val="ED04450A"/>
    <w:lvl w:ilvl="0" w:tplc="EBA844BA">
      <w:start w:val="1"/>
      <w:numFmt w:val="bullet"/>
      <w:lvlText w:val=""/>
      <w:lvlJc w:val="left"/>
      <w:pPr>
        <w:ind w:left="1080" w:hanging="360"/>
      </w:pPr>
      <w:rPr>
        <w:rFonts w:ascii="Symbol" w:eastAsiaTheme="minorEastAsia" w:hAnsi="Symbol" w:cstheme="minorBidi"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5" w15:restartNumberingAfterBreak="0">
    <w:nsid w:val="448309BB"/>
    <w:multiLevelType w:val="hybridMultilevel"/>
    <w:tmpl w:val="D8F60936"/>
    <w:lvl w:ilvl="0" w:tplc="7F8A3C46">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44CD25D3"/>
    <w:multiLevelType w:val="hybridMultilevel"/>
    <w:tmpl w:val="0B66AABA"/>
    <w:lvl w:ilvl="0" w:tplc="43883F18">
      <w:numFmt w:val="bullet"/>
      <w:lvlText w:val="-"/>
      <w:lvlJc w:val="left"/>
      <w:pPr>
        <w:ind w:left="720" w:hanging="360"/>
      </w:pPr>
      <w:rPr>
        <w:rFonts w:ascii="Aptos" w:eastAsiaTheme="minorEastAsia" w:hAnsi="Aptos" w:cstheme="minorBid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5D585111"/>
    <w:multiLevelType w:val="hybridMultilevel"/>
    <w:tmpl w:val="67106E72"/>
    <w:lvl w:ilvl="0" w:tplc="3C090019">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65250C16"/>
    <w:multiLevelType w:val="hybridMultilevel"/>
    <w:tmpl w:val="194E4B60"/>
    <w:lvl w:ilvl="0" w:tplc="0076302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225F7D"/>
    <w:multiLevelType w:val="hybridMultilevel"/>
    <w:tmpl w:val="0B94920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A8133EE"/>
    <w:multiLevelType w:val="hybridMultilevel"/>
    <w:tmpl w:val="BB261228"/>
    <w:lvl w:ilvl="0" w:tplc="7578DEC4">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7953282A"/>
    <w:multiLevelType w:val="hybridMultilevel"/>
    <w:tmpl w:val="30441420"/>
    <w:lvl w:ilvl="0" w:tplc="00763026">
      <w:start w:val="1"/>
      <w:numFmt w:val="lowerRoman"/>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1930311557">
    <w:abstractNumId w:val="1"/>
  </w:num>
  <w:num w:numId="2" w16cid:durableId="1725790763">
    <w:abstractNumId w:val="8"/>
  </w:num>
  <w:num w:numId="3" w16cid:durableId="1306162510">
    <w:abstractNumId w:val="11"/>
  </w:num>
  <w:num w:numId="4" w16cid:durableId="2043165650">
    <w:abstractNumId w:val="6"/>
  </w:num>
  <w:num w:numId="5" w16cid:durableId="1294943704">
    <w:abstractNumId w:val="3"/>
  </w:num>
  <w:num w:numId="6" w16cid:durableId="1499230974">
    <w:abstractNumId w:val="7"/>
  </w:num>
  <w:num w:numId="7" w16cid:durableId="51773978">
    <w:abstractNumId w:val="5"/>
  </w:num>
  <w:num w:numId="8" w16cid:durableId="955015832">
    <w:abstractNumId w:val="2"/>
  </w:num>
  <w:num w:numId="9" w16cid:durableId="1233732700">
    <w:abstractNumId w:val="10"/>
  </w:num>
  <w:num w:numId="10" w16cid:durableId="680667125">
    <w:abstractNumId w:val="0"/>
  </w:num>
  <w:num w:numId="11" w16cid:durableId="2070031610">
    <w:abstractNumId w:val="9"/>
  </w:num>
  <w:num w:numId="12" w16cid:durableId="1823615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AE"/>
    <w:rsid w:val="00023405"/>
    <w:rsid w:val="00084173"/>
    <w:rsid w:val="000847D0"/>
    <w:rsid w:val="000A0F05"/>
    <w:rsid w:val="000B6365"/>
    <w:rsid w:val="000E24AE"/>
    <w:rsid w:val="001025C4"/>
    <w:rsid w:val="001257BE"/>
    <w:rsid w:val="00135DF0"/>
    <w:rsid w:val="00162AAC"/>
    <w:rsid w:val="001C023D"/>
    <w:rsid w:val="001C2371"/>
    <w:rsid w:val="001C5B20"/>
    <w:rsid w:val="001E49E8"/>
    <w:rsid w:val="00211D26"/>
    <w:rsid w:val="0023737A"/>
    <w:rsid w:val="00241FD9"/>
    <w:rsid w:val="002655C9"/>
    <w:rsid w:val="002840C2"/>
    <w:rsid w:val="002A4FEE"/>
    <w:rsid w:val="002C7B8C"/>
    <w:rsid w:val="002E6E55"/>
    <w:rsid w:val="002F7A27"/>
    <w:rsid w:val="003421ED"/>
    <w:rsid w:val="00344356"/>
    <w:rsid w:val="00355D2A"/>
    <w:rsid w:val="003666C2"/>
    <w:rsid w:val="0038032A"/>
    <w:rsid w:val="003970D2"/>
    <w:rsid w:val="003B2695"/>
    <w:rsid w:val="003B59DE"/>
    <w:rsid w:val="003D2EA5"/>
    <w:rsid w:val="003F46D6"/>
    <w:rsid w:val="00411A8C"/>
    <w:rsid w:val="00462085"/>
    <w:rsid w:val="004A1B84"/>
    <w:rsid w:val="004B328D"/>
    <w:rsid w:val="004E443F"/>
    <w:rsid w:val="00533F77"/>
    <w:rsid w:val="00550805"/>
    <w:rsid w:val="00560DA6"/>
    <w:rsid w:val="0057238E"/>
    <w:rsid w:val="00595183"/>
    <w:rsid w:val="005C0D40"/>
    <w:rsid w:val="005C2EDC"/>
    <w:rsid w:val="005E0D87"/>
    <w:rsid w:val="006126A9"/>
    <w:rsid w:val="00612EB5"/>
    <w:rsid w:val="00617398"/>
    <w:rsid w:val="00644931"/>
    <w:rsid w:val="00646BB1"/>
    <w:rsid w:val="00655E34"/>
    <w:rsid w:val="006564B7"/>
    <w:rsid w:val="00692113"/>
    <w:rsid w:val="006A1C37"/>
    <w:rsid w:val="006B56BB"/>
    <w:rsid w:val="007073FA"/>
    <w:rsid w:val="007162AB"/>
    <w:rsid w:val="00721F16"/>
    <w:rsid w:val="007446F2"/>
    <w:rsid w:val="00780454"/>
    <w:rsid w:val="007A6CE8"/>
    <w:rsid w:val="007C39A3"/>
    <w:rsid w:val="007C3E7E"/>
    <w:rsid w:val="007D0C79"/>
    <w:rsid w:val="007E3046"/>
    <w:rsid w:val="007E4165"/>
    <w:rsid w:val="007E5F03"/>
    <w:rsid w:val="00830FE5"/>
    <w:rsid w:val="00831CAE"/>
    <w:rsid w:val="00833C49"/>
    <w:rsid w:val="0083600E"/>
    <w:rsid w:val="00836318"/>
    <w:rsid w:val="00847476"/>
    <w:rsid w:val="008513F3"/>
    <w:rsid w:val="00857FCF"/>
    <w:rsid w:val="008C3EDF"/>
    <w:rsid w:val="008D6104"/>
    <w:rsid w:val="008F48FA"/>
    <w:rsid w:val="008F61D3"/>
    <w:rsid w:val="00935896"/>
    <w:rsid w:val="00936C06"/>
    <w:rsid w:val="0097616D"/>
    <w:rsid w:val="009C1969"/>
    <w:rsid w:val="009D1CD7"/>
    <w:rsid w:val="009E1065"/>
    <w:rsid w:val="00A05535"/>
    <w:rsid w:val="00A425AE"/>
    <w:rsid w:val="00A500AE"/>
    <w:rsid w:val="00A70FAB"/>
    <w:rsid w:val="00A9603E"/>
    <w:rsid w:val="00AA4144"/>
    <w:rsid w:val="00AB08E9"/>
    <w:rsid w:val="00AD73F6"/>
    <w:rsid w:val="00AE0C70"/>
    <w:rsid w:val="00AE0D63"/>
    <w:rsid w:val="00B066E7"/>
    <w:rsid w:val="00B30DBC"/>
    <w:rsid w:val="00B375C9"/>
    <w:rsid w:val="00B51157"/>
    <w:rsid w:val="00B81B58"/>
    <w:rsid w:val="00B90FAC"/>
    <w:rsid w:val="00B96FF6"/>
    <w:rsid w:val="00BA0AEA"/>
    <w:rsid w:val="00BB167F"/>
    <w:rsid w:val="00BB5725"/>
    <w:rsid w:val="00BD6C2F"/>
    <w:rsid w:val="00BE4268"/>
    <w:rsid w:val="00BF5973"/>
    <w:rsid w:val="00C27CC7"/>
    <w:rsid w:val="00C361CD"/>
    <w:rsid w:val="00C4509E"/>
    <w:rsid w:val="00C65153"/>
    <w:rsid w:val="00C859FC"/>
    <w:rsid w:val="00C85DF5"/>
    <w:rsid w:val="00CA1154"/>
    <w:rsid w:val="00D5195A"/>
    <w:rsid w:val="00D5385B"/>
    <w:rsid w:val="00D73402"/>
    <w:rsid w:val="00DC6581"/>
    <w:rsid w:val="00DD3A36"/>
    <w:rsid w:val="00DF3BC8"/>
    <w:rsid w:val="00E15BC5"/>
    <w:rsid w:val="00E23CFB"/>
    <w:rsid w:val="00E4245E"/>
    <w:rsid w:val="00E45060"/>
    <w:rsid w:val="00E621A7"/>
    <w:rsid w:val="00E94C1C"/>
    <w:rsid w:val="00E9603F"/>
    <w:rsid w:val="00EA5A09"/>
    <w:rsid w:val="00EB7EED"/>
    <w:rsid w:val="00F344DA"/>
    <w:rsid w:val="00F83C77"/>
    <w:rsid w:val="00F85D0E"/>
    <w:rsid w:val="00F97954"/>
    <w:rsid w:val="00FA202D"/>
    <w:rsid w:val="00FA2634"/>
    <w:rsid w:val="00FC7287"/>
    <w:rsid w:val="00FE69F7"/>
    <w:rsid w:val="00FF39F0"/>
    <w:rsid w:val="00FF4843"/>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D334"/>
  <w15:chartTrackingRefBased/>
  <w15:docId w15:val="{D2FCA7BD-E6B1-41F9-9025-6C08FA3C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HK"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4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4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4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4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4AE"/>
    <w:rPr>
      <w:rFonts w:eastAsiaTheme="majorEastAsia" w:cstheme="majorBidi"/>
      <w:color w:val="272727" w:themeColor="text1" w:themeTint="D8"/>
    </w:rPr>
  </w:style>
  <w:style w:type="paragraph" w:styleId="Title">
    <w:name w:val="Title"/>
    <w:basedOn w:val="Normal"/>
    <w:next w:val="Normal"/>
    <w:link w:val="TitleChar"/>
    <w:uiPriority w:val="10"/>
    <w:qFormat/>
    <w:rsid w:val="000E24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4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4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24AE"/>
    <w:rPr>
      <w:i/>
      <w:iCs/>
      <w:color w:val="404040" w:themeColor="text1" w:themeTint="BF"/>
    </w:rPr>
  </w:style>
  <w:style w:type="paragraph" w:styleId="ListParagraph">
    <w:name w:val="List Paragraph"/>
    <w:basedOn w:val="Normal"/>
    <w:uiPriority w:val="34"/>
    <w:qFormat/>
    <w:rsid w:val="000E24AE"/>
    <w:pPr>
      <w:ind w:left="720"/>
      <w:contextualSpacing/>
    </w:pPr>
  </w:style>
  <w:style w:type="character" w:styleId="IntenseEmphasis">
    <w:name w:val="Intense Emphasis"/>
    <w:basedOn w:val="DefaultParagraphFont"/>
    <w:uiPriority w:val="21"/>
    <w:qFormat/>
    <w:rsid w:val="000E24AE"/>
    <w:rPr>
      <w:i/>
      <w:iCs/>
      <w:color w:val="0F4761" w:themeColor="accent1" w:themeShade="BF"/>
    </w:rPr>
  </w:style>
  <w:style w:type="paragraph" w:styleId="IntenseQuote">
    <w:name w:val="Intense Quote"/>
    <w:basedOn w:val="Normal"/>
    <w:next w:val="Normal"/>
    <w:link w:val="IntenseQuoteChar"/>
    <w:uiPriority w:val="30"/>
    <w:qFormat/>
    <w:rsid w:val="000E2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4AE"/>
    <w:rPr>
      <w:i/>
      <w:iCs/>
      <w:color w:val="0F4761" w:themeColor="accent1" w:themeShade="BF"/>
    </w:rPr>
  </w:style>
  <w:style w:type="character" w:styleId="IntenseReference">
    <w:name w:val="Intense Reference"/>
    <w:basedOn w:val="DefaultParagraphFont"/>
    <w:uiPriority w:val="32"/>
    <w:qFormat/>
    <w:rsid w:val="000E24AE"/>
    <w:rPr>
      <w:b/>
      <w:bCs/>
      <w:smallCaps/>
      <w:color w:val="0F4761" w:themeColor="accent1" w:themeShade="BF"/>
      <w:spacing w:val="5"/>
    </w:rPr>
  </w:style>
  <w:style w:type="table" w:styleId="TableGrid">
    <w:name w:val="Table Grid"/>
    <w:basedOn w:val="TableNormal"/>
    <w:uiPriority w:val="39"/>
    <w:rsid w:val="005C0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113"/>
    <w:rPr>
      <w:color w:val="467886" w:themeColor="hyperlink"/>
      <w:u w:val="single"/>
    </w:rPr>
  </w:style>
  <w:style w:type="character" w:styleId="UnresolvedMention">
    <w:name w:val="Unresolved Mention"/>
    <w:basedOn w:val="DefaultParagraphFont"/>
    <w:uiPriority w:val="99"/>
    <w:semiHidden/>
    <w:unhideWhenUsed/>
    <w:rsid w:val="00692113"/>
    <w:rPr>
      <w:color w:val="605E5C"/>
      <w:shd w:val="clear" w:color="auto" w:fill="E1DFDD"/>
    </w:rPr>
  </w:style>
  <w:style w:type="character" w:styleId="FollowedHyperlink">
    <w:name w:val="FollowedHyperlink"/>
    <w:basedOn w:val="DefaultParagraphFont"/>
    <w:uiPriority w:val="99"/>
    <w:semiHidden/>
    <w:unhideWhenUsed/>
    <w:rsid w:val="006921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771255">
      <w:bodyDiv w:val="1"/>
      <w:marLeft w:val="0"/>
      <w:marRight w:val="0"/>
      <w:marTop w:val="0"/>
      <w:marBottom w:val="0"/>
      <w:divBdr>
        <w:top w:val="none" w:sz="0" w:space="0" w:color="auto"/>
        <w:left w:val="none" w:sz="0" w:space="0" w:color="auto"/>
        <w:bottom w:val="none" w:sz="0" w:space="0" w:color="auto"/>
        <w:right w:val="none" w:sz="0" w:space="0" w:color="auto"/>
      </w:divBdr>
    </w:div>
    <w:div w:id="1123498260">
      <w:bodyDiv w:val="1"/>
      <w:marLeft w:val="0"/>
      <w:marRight w:val="0"/>
      <w:marTop w:val="0"/>
      <w:marBottom w:val="0"/>
      <w:divBdr>
        <w:top w:val="none" w:sz="0" w:space="0" w:color="auto"/>
        <w:left w:val="none" w:sz="0" w:space="0" w:color="auto"/>
        <w:bottom w:val="none" w:sz="0" w:space="0" w:color="auto"/>
        <w:right w:val="none" w:sz="0" w:space="0" w:color="auto"/>
      </w:divBdr>
    </w:div>
    <w:div w:id="128052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orld-exchanges.org/membership-ev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mcbvireporting.omcgroup.com/ROMBO-Fil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B75BA-2729-4F60-9607-4DD3996E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Shek</dc:creator>
  <cp:keywords/>
  <dc:description/>
  <cp:lastModifiedBy>William Shek</cp:lastModifiedBy>
  <cp:revision>4</cp:revision>
  <dcterms:created xsi:type="dcterms:W3CDTF">2025-11-07T05:44:00Z</dcterms:created>
  <dcterms:modified xsi:type="dcterms:W3CDTF">2025-11-07T05:49:00Z</dcterms:modified>
</cp:coreProperties>
</file>